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HATICE CIFTCIOGLU</w:t>
            </w:r>
          </w:p>
          <w:p w:rsidR="00C275A3" w:rsidRDefault="00186641" w:rsidP="00C275A3">
            <w:pPr>
              <w:pStyle w:val="Hallgatokepzes"/>
            </w:pPr>
            <w:r w:rsidRPr="002361E2">
              <w:rPr>
                <w:i/>
              </w:rPr>
              <w:t>kristalklbk449@gmail.com</w:t>
            </w:r>
            <w:r w:rsidRPr="002361E2">
              <w:rPr>
                <w:i/>
              </w:rPr>
              <w:br/>
            </w:r>
            <w:r w:rsidR="00A96AEC">
              <w:t>Nemzetközi tanulmányok (angol) - mesterképzés (MA/MSc)</w:t>
            </w:r>
            <w:r w:rsidR="00A96AEC">
              <w:br/>
            </w:r>
            <w:r w:rsidR="00E77B23">
              <w:t>MA, 3.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MONTEIRO GUERRA SILVA ISABELLA</w:t>
            </w:r>
          </w:p>
          <w:p w:rsidR="00DB4822" w:rsidRDefault="00186641" w:rsidP="004D7940">
            <w:pPr>
              <w:pStyle w:val="Hallgatokepzes"/>
            </w:pPr>
            <w:bookmarkStart w:id="1" w:name="_GoBack"/>
            <w:r w:rsidRPr="002361E2">
              <w:rPr>
                <w:i/>
              </w:rPr>
              <w:t>isabella.m.g.silva@gmail.com</w:t>
            </w:r>
            <w:r w:rsidRPr="002361E2">
              <w:rPr>
                <w:i/>
              </w:rPr>
              <w:br/>
            </w:r>
            <w:bookmarkEnd w:id="1"/>
            <w:r w:rsidR="00C275A3">
              <w:t>Nemzetközi tanulmányok (angol) - mesterképzés (MA/MSc)</w:t>
            </w:r>
            <w:r w:rsidR="00A96AEC">
              <w:br/>
              <w:t>MA, 3. félév</w:t>
            </w:r>
          </w:p>
          <w:p w:rsidR="00DB4822" w:rsidRDefault="00DB4822" w:rsidP="004D7940">
            <w:pPr>
              <w:pStyle w:val="Hallgatointezmeny-kar"/>
            </w:pPr>
            <w:r>
              <w:t>Budapesti Gazdasági Egyetem</w:t>
            </w:r>
          </w:p>
          <w:p w:rsidR="00C265CE" w:rsidRPr="009E5FF1" w:rsidRDefault="00DB4822" w:rsidP="004D7940">
            <w:pPr>
              <w:pStyle w:val="Hallgatointezmeny-kar"/>
              <w:rPr>
                <w:b/>
                <w:caps/>
              </w:rPr>
            </w:pPr>
            <w:r>
              <w:t>Külkereskedelmi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Szilágyi Judit</w:t>
            </w:r>
          </w:p>
          <w:p w:rsidR="00DB4822" w:rsidRDefault="00DB4822" w:rsidP="009763E0">
            <w:pPr>
              <w:pStyle w:val="Konzulensektitulus"/>
            </w:pPr>
            <w:r w:rsidRPr="00DB4822">
              <w:t>adjunktus,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DÉL-KOREAI HATÉKONY ORSZÁGIMÁZS ESZKÖZEI: ÖSSZEHASONLÍTÓ TANULMÁNY BRAZÍLIA, MAGYARORSZÁG ÉS TÖRÖKORSZÁG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TOOL OF THE SOUTH KOREAN EFFECTIVE BRANDING- A COMPARATIVE STUDY WITH BRAZIL, HUNGARY, AND TÜRKIYE.</w:t>
      </w:r>
    </w:p>
    <w:p>
      <w:pPr>
        <w:widowControl w:val="on"/>
        <w:pBdr/>
        <w:spacing w:before="240" w:after="240" w:line="240" w:lineRule="auto"/>
        <w:ind w:left="0" w:right="0"/>
        <w:jc w:val="left"/>
      </w:pPr>
      <w:r>
        <w:rPr>
          <w:color w:val="000000"/>
          <w:sz w:val="24"/>
          <w:szCs w:val="24"/>
        </w:rPr>
        <w:br/>
        <w:t xml:space="preserve">Public diplomacy sometimes called “People’s Diplomacy” is exercised with government-sponsored efforts to communicate directly with foreign policies, including all the official efforts to convince targeted sectors of foreign opinions to support or, at least, tolerate a government’s strategic goals. In order to achieve these objectives, there are two kinds of Public Diplomacy which are country branding and political advocacy. Primarily, political advocacy includes various strategies designed specifically to facilitate more rapid results used to build or increase foreign support for an immediate policy objective. On the other hand, country branding, or cultural communication, is the governmental attempt to improve its image without the need of seeking support for any immediate policy objective. Therefore, it is usually used to foster a better image of the government and, ideally, create general goodwill and facilitate cooperation possibilities across a variety of issues.</w:t>
      </w:r>
      <w:r>
        <w:rPr>
          <w:color w:val="000000"/>
          <w:sz w:val="24"/>
          <w:szCs w:val="24"/>
        </w:rPr>
        <w:br/>
        <w:t xml:space="preserve">In this regard, our research proposal focuses on one of the most efficient public diplomacy examples of today’s world, the South Korean public diplomacy through Korean Cultural Centers(KCC) around the world. As researchers, we are going to examine three different countries from different regions and development levels: Brazil, Hungary and Türkiye. The reason behind the pilot countries is acknowledging South Korean agenda similarities and differences based on the countries' position in the world. Accordingly, our analysis will be a comparison of the target audiences (young adults, businessmen, teenagers etc), highlighted areas (business, culture, language etc.), the efficiency of the KCCs in the target countries, and the host countries’ diverse perceptions on Korea and these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55218">
    <w:multiLevelType w:val="hybridMultilevel"/>
    <w:lvl w:ilvl="0" w:tplc="19541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55218">
    <w:abstractNumId w:val="42555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974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