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BARBARA</w:t>
            </w:r>
          </w:p>
          <w:p w:rsidR="00C275A3" w:rsidRDefault="00186641" w:rsidP="00C275A3">
            <w:pPr>
              <w:pStyle w:val="Hallgatokepzes"/>
            </w:pPr>
            <w:r w:rsidRPr="002361E2">
              <w:rPr>
                <w:i/>
              </w:rPr>
              <w:t>horvathbarbara742@gmail.com</w:t>
            </w:r>
            <w:r w:rsidRPr="002361E2">
              <w:rPr>
                <w:i/>
              </w:rPr>
              <w:br/>
            </w:r>
            <w:r w:rsidR="00A96AEC">
              <w:t>Hittanár-Nevelőtanár</w:t>
            </w:r>
            <w:r w:rsidR="00A96AEC">
              <w:br/>
            </w:r>
            <w:r w:rsidR="00E77B23">
              <w:t>Osztatlan, 3. félév</w:t>
            </w:r>
          </w:p>
          <w:p w:rsidR="00C265CE" w:rsidRPr="009E5FF1" w:rsidRDefault="00E77B23" w:rsidP="009763E0">
            <w:pPr>
              <w:pStyle w:val="Hallgatointezmeny-kar"/>
              <w:rPr>
                <w:b/>
                <w:caps/>
              </w:rPr>
            </w:pPr>
            <w:r>
              <w:t>Pécsi Püspöki Hittudományi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Roland</w:t>
            </w:r>
          </w:p>
          <w:p w:rsidR="00DB4822" w:rsidRDefault="00DB4822" w:rsidP="009763E0">
            <w:pPr>
              <w:pStyle w:val="Konzulensektitulus"/>
            </w:pPr>
            <w:r w:rsidRPr="00DB4822">
              <w:t>főiskolai docens,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eszkatologikus fenntartás. Egy félreértés tisztázása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Az eszkatologikus fenntartás. Egy félreértés tisztázása</w:t>
      </w:r>
      <w:r>
        <w:rPr>
          <w:color w:val="000000"/>
          <w:sz w:val="24"/>
          <w:szCs w:val="24"/>
        </w:rPr>
        <w:br/>
        <w:t xml:space="preserve">HBK-742</w:t>
      </w:r>
    </w:p>
    <w:p>
      <w:pPr>
        <w:widowControl w:val="on"/>
        <w:pBdr/>
        <w:spacing w:before="240" w:after="240" w:line="240" w:lineRule="auto"/>
        <w:ind w:left="0" w:right="0"/>
        <w:jc w:val="left"/>
      </w:pPr>
      <w:r>
        <w:rPr>
          <w:color w:val="000000"/>
          <w:sz w:val="24"/>
          <w:szCs w:val="24"/>
        </w:rPr>
        <w:br/>
        <w:t xml:space="preserve">A pályamunkám az eszkatologikus fenntartás címet viseli, ugyanis kifejezetten fontosnak találom a dogmatika különböző téziseinek, különösen tehát az eszkatológia állításinak alaposabb szemügyre vételét, melyre az írásomban fel is hívom a figyelmet. Mielőtt tehát szó szerinti következtetéseket vonnánk le a halálon túli élet bármely valóságáról, kulcsfontosságú azokat helyesen értelmeznünk. Pályamunkám elején röviden összegzem az újskolasztikus szemlélet főbb sajátosságait, amely aztán az írásom egy részén olvasható témákat végig kíséri. Ezt követően pedig kitérek az általam vizsgált kérdéskör, az eszkatologikus fenntartás konkrét leírására.</w:t>
      </w:r>
      <w:r>
        <w:rPr>
          <w:color w:val="000000"/>
          <w:sz w:val="24"/>
          <w:szCs w:val="24"/>
        </w:rPr>
        <w:br/>
        <w:t xml:space="preserve">Külön részekre bontva pedig tisztázom a mennyország, a pokol, a purgatórium, valamint a különítélet helyes értelmezésének szempontjait, melyeket az újskolasztikus teológia, valamint a II. Vatikáni zsinatot követő szemlélet fényében világítok meg. Egy másik bekezdésben Krisztus második eljövetelével, a parúziával kapcsolatosan felmerülő kérdésekre keresek választ a Szentírás igehelyeinek segítségével.</w:t>
      </w:r>
      <w:r>
        <w:rPr>
          <w:color w:val="000000"/>
          <w:sz w:val="24"/>
          <w:szCs w:val="24"/>
        </w:rPr>
        <w:br/>
        <w:t xml:space="preserve">Az azt követő bekezdést a Gaudium et spes, harmadik fejezetének, az Új ég és új föld című szakaszának szentelem, melyben a kor, s az ember világhoz való hozzáállásának változását érzékeltetem.</w:t>
      </w:r>
      <w:r>
        <w:rPr>
          <w:color w:val="000000"/>
          <w:sz w:val="24"/>
          <w:szCs w:val="24"/>
        </w:rPr>
        <w:br/>
        <w:t xml:space="preserve">A mai kor apokaliptikus világképére is kitérek, párhuzamba hozva az azt megelőző idők, különösen is a huszadik század derűlátó szemléletével, felhívva a figyelmet arra, hogy a jelenkor problémái milyen döntő hatással is bírhatnak a szemléletünk alakulására.</w:t>
      </w:r>
      <w:r>
        <w:rPr>
          <w:color w:val="000000"/>
          <w:sz w:val="24"/>
          <w:szCs w:val="24"/>
        </w:rPr>
        <w:br/>
        <w:t xml:space="preserve">A pályamunkám végét pedig egy nagyon hangsúlyos szállal zárom, Teilhard de Chardin teológiai munkásságának, valamint világképének, az eszkatológia különböző valóságaihoz való hozzáállásának leírásával. Noha ő nem az újskolasztikus teológia szellemiségében alkotott, mégis nagyon kardinálisnak tartom párhuzamba vonni az írásom témakörével, hiszen a Teilhard által képviselt kiemelkedően pozitív perspektíva egészen más szemszögből ad megvilágítást az eszkatológia tételeire.</w:t>
      </w:r>
    </w:p>
    <w:p>
      <w:pPr>
        <w:widowControl w:val="on"/>
        <w:pBdr/>
        <w:spacing w:before="240" w:after="240" w:line="240" w:lineRule="auto"/>
        <w:ind w:left="0" w:right="0"/>
        <w:jc w:val="left"/>
      </w:pPr>
      <w:r>
        <w:rPr>
          <w:color w:val="000000"/>
          <w:sz w:val="24"/>
          <w:szCs w:val="24"/>
        </w:rPr>
        <w:t xml:space="preserve">Kulcsszavak: Teológia, Eszkatológia, Újskolasztika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20628">
    <w:multiLevelType w:val="hybridMultilevel"/>
    <w:lvl w:ilvl="0" w:tplc="52471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20628">
    <w:abstractNumId w:val="61120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125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