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KITTI BALÁZS</w:t>
            </w:r>
          </w:p>
          <w:p w:rsidR="00C275A3" w:rsidRDefault="00186641" w:rsidP="00C275A3">
            <w:pPr>
              <w:pStyle w:val="Hallgatokepzes"/>
            </w:pPr>
            <w:r w:rsidRPr="002361E2">
              <w:rPr>
                <w:i/>
              </w:rPr>
              <w:t>balazs.kitti001@gmail.com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Mónika Galambosné Tiszberger (PhD)</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RANKING OF THE EUROPEAN UNION MEMBER STATES BASED ON THE GREEN DEAL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is to create a composite index that ranks member states of the European Union according to the Green Deal targets. Although there are many index measureing sustainability or environmental aspects, they all have limitations. My study presents most of the existing sustainability composite indices along with their weaknesses, which may distort the rankings. Following the criticisms made, I will compile my own set of variables included in the Green Deal Index (GDI), which reduce the possibilities of biased results and are fully Green Deal based.</w:t>
      </w:r>
    </w:p>
    <w:p>
      <w:pPr>
        <w:widowControl w:val="on"/>
        <w:pBdr/>
        <w:spacing w:before="240" w:after="240" w:line="240" w:lineRule="auto"/>
        <w:ind w:left="0" w:right="0"/>
        <w:jc w:val="left"/>
      </w:pPr>
      <w:r>
        <w:rPr>
          <w:color w:val="000000"/>
          <w:sz w:val="24"/>
          <w:szCs w:val="24"/>
        </w:rPr>
        <w:t xml:space="preserve">Instead of the typical statistical methodologies of composite indices, my study applies – a rarely used method in this perspective – the Grey Relational Analysis. The rankings are calculated based on the original data and also based on two types of data transformations (interquartile range outlier capping and winsorization). In addition, two types of weighting methods are also included: simple arithmetic mean and entropy weighting.</w:t>
      </w:r>
    </w:p>
    <w:p>
      <w:pPr>
        <w:widowControl w:val="on"/>
        <w:pBdr/>
        <w:spacing w:before="240" w:after="240" w:line="240" w:lineRule="auto"/>
        <w:ind w:left="0" w:right="0"/>
        <w:jc w:val="left"/>
      </w:pPr>
      <w:r>
        <w:rPr>
          <w:color w:val="000000"/>
          <w:sz w:val="24"/>
          <w:szCs w:val="24"/>
        </w:rPr>
        <w:t xml:space="preserve">After selecting the final ranking method, the GDI is compared with two popular composite indicators, the index of the Sustainable Development Goals and the Environmental Performance Index. It can be concluded that the GDI has validity because it is not dominated by unsustainably developing rich countries. Therefore a more realistic ranking has been achieved. My own indicator is unique also because there is no other composite indicator which is specifically based on the Green Deal.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28398">
    <w:multiLevelType w:val="hybridMultilevel"/>
    <w:lvl w:ilvl="0" w:tplc="50818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28398">
    <w:abstractNumId w:val="278283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278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