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ALEXANDRA NYÍRŐ</w:t>
            </w:r>
          </w:p>
          <w:p w:rsidR="00C275A3" w:rsidRDefault="00186641" w:rsidP="00C275A3">
            <w:pPr>
              <w:pStyle w:val="Hallgatokepzes"/>
            </w:pPr>
            <w:r w:rsidRPr="002361E2">
              <w:rPr>
                <w:i/>
              </w:rPr>
              <w:t>nyiro.alexandra@gmail.com</w:t>
            </w:r>
            <w:r w:rsidRPr="002361E2">
              <w:rPr>
                <w:i/>
              </w:rPr>
              <w:br/>
            </w:r>
            <w:r w:rsidR="00A96AEC">
              <w:t>Finance and Accounting</w:t>
            </w:r>
            <w:r w:rsidR="00A96AEC">
              <w:br/>
            </w:r>
            <w:r w:rsidR="00E77B23">
              <w:t>BSc,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Gergely Marton</w:t>
            </w:r>
          </w:p>
          <w:p w:rsidR="00DB4822" w:rsidRDefault="00DB4822" w:rsidP="009763E0">
            <w:pPr>
              <w:pStyle w:val="Konzulensektitulus"/>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economic impact of 2008 financial crisis and COVID 19 crisis across the enterprises of Balaton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current paper discusses a comparison of the economic impact of 2008 financial crisis and COVID19 crisis. The breakout and the spread of COVID19 led the cycle of economic life to face to serious challenges.</w:t>
      </w:r>
      <w:r>
        <w:rPr>
          <w:color w:val="000000"/>
          <w:sz w:val="24"/>
          <w:szCs w:val="24"/>
        </w:rPr>
        <w:br/>
        <w:t xml:space="preserve">As COVID19 could cause serious health problems the leaders of many countries were forced to stop it even though it meant the decrease of human mobility. The lockdown caused changes across the everyday life of Hungarian enterprises especially those enterprises who offer tourism services. Earlier in 2008 the financial crisis caused similar economic effect and that is the reason why we decided to start our research.</w:t>
      </w:r>
      <w:r>
        <w:rPr>
          <w:color w:val="000000"/>
          <w:sz w:val="24"/>
          <w:szCs w:val="24"/>
        </w:rPr>
        <w:br/>
        <w:t xml:space="preserve">The aim of this study is to identify both the similarities and the differences between the impact of these two crises. In order to collect and analyse data we used the data of Central Bureau of Statistics and implemented indexes of the enterprises of Balaton. Thus, it can be confirmed that the topic is new and innovative, nothing similar research in national literature can be found.</w:t>
      </w:r>
      <w:r>
        <w:rPr>
          <w:color w:val="000000"/>
          <w:sz w:val="24"/>
          <w:szCs w:val="24"/>
        </w:rPr>
        <w:br/>
        <w:t xml:space="preserve">Altogether we assume the analysis of these special enterprises might lead us to identify the same trends both at the time of 2008 financial crisis and COVID19 crisis. We hope these discoveries will help to understand better the activities of economic crises so economical actor might react more effectively in the future.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84323">
    <w:multiLevelType w:val="hybridMultilevel"/>
    <w:lvl w:ilvl="0" w:tplc="60772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84323">
    <w:abstractNumId w:val="78084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8716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