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KITTI BALÁZS</w:t>
            </w:r>
          </w:p>
          <w:p w:rsidR="00C275A3" w:rsidRDefault="00186641" w:rsidP="00C275A3">
            <w:pPr>
              <w:pStyle w:val="Hallgatokepzes"/>
            </w:pPr>
            <w:r w:rsidRPr="002361E2">
              <w:rPr>
                <w:i/>
              </w:rPr>
              <w:t>balazs.kitti001@gmail.com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Norbert Sipos (PhD)</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FACTORS BEHIND OCCUPATIONAL MOBILITY AMONG FRESH GRADUATES IN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was to understand what kind of educational, sociodemographic, occupational and state support-related factors are in connection with occupational mobility among fresh graduates in Hungary. This definition often includes the geographical and occupational mobility of workers, or whether it is voluntary or involuntary, and whether they move up or down in their career ladder (Long-Ferrie, 2011). My own research includes only the mobility of workers from one occupation to another.</w:t>
      </w:r>
    </w:p>
    <w:p>
      <w:pPr>
        <w:widowControl w:val="on"/>
        <w:pBdr/>
        <w:spacing w:before="240" w:after="240" w:line="240" w:lineRule="auto"/>
        <w:ind w:left="0" w:right="0"/>
        <w:jc w:val="left"/>
      </w:pPr>
      <w:r>
        <w:rPr>
          <w:color w:val="000000"/>
          <w:sz w:val="24"/>
          <w:szCs w:val="24"/>
        </w:rPr>
        <w:t xml:space="preserve">Occupational mobility has impacts on workers, employers and the state, so understanding the factors that can influence career change is important. However, there is not a lot of domestic research on this topic, so this area leaves open possibilities. The research is innovative because of the rarity of this topic and also because of the almost complete coverage of data available for graduates. I investigate this topic using data from the Integration of Administrative Databases (IAE) database. This includes anonymous and objective data about students who graduated between May 2012 and May 2016. The occurrence of mobility is indicated by the four-digit codes of the Standard Classification of Occupations (SCO) so that even small changes in occupation can be detected. After the statistical preparation of the data, 114,349 persons were included in the analysis.</w:t>
      </w:r>
    </w:p>
    <w:p>
      <w:pPr>
        <w:widowControl w:val="on"/>
        <w:pBdr/>
        <w:spacing w:before="240" w:after="240" w:line="240" w:lineRule="auto"/>
        <w:ind w:left="0" w:right="0"/>
        <w:jc w:val="left"/>
      </w:pPr>
      <w:r>
        <w:rPr>
          <w:color w:val="000000"/>
          <w:sz w:val="24"/>
          <w:szCs w:val="24"/>
        </w:rPr>
        <w:t xml:space="preserve">Looking at the results of the binary logistic regression, all 12 explanatory variables have an impact on occupational mobility with 19.2% explanatory power. To highlight some of the main conclusions: individuals who have graduated in a field which gives more specialised knowledge are less likely to change occupation. In terms of firm factors, higher income does not help to reduce turnover. Furthermore, the larger the company, the higher the mobility of employees. Moreover, the state can influence the mobility through employment policy tools.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57961">
    <w:multiLevelType w:val="hybridMultilevel"/>
    <w:lvl w:ilvl="0" w:tplc="11878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57961">
    <w:abstractNumId w:val="839579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4423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