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MOSNITZKA</w:t>
            </w:r>
          </w:p>
          <w:p w:rsidR="00C275A3" w:rsidRDefault="00186641" w:rsidP="00C275A3">
            <w:pPr>
              <w:pStyle w:val="Hallgatokepzes"/>
            </w:pPr>
            <w:r w:rsidRPr="002361E2">
              <w:rPr>
                <w:i/>
              </w:rPr>
              <w:t>mosnitzka.anna@gmail.com</w:t>
            </w:r>
            <w:r w:rsidRPr="002361E2">
              <w:rPr>
                <w:i/>
              </w:rPr>
              <w:br/>
            </w:r>
            <w:r w:rsidR="00A96AEC">
              <w:t>Finance</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Lívia Lukovszki</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CHOICE BETWEEN INCOME TAX FORMS ON ENTERPRISES IN THE SMALL AND MEDIUM-SIZED ENTERPRISE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examine the impact of choice between income tax forms on firms in the SME sector. The analysis contributes to a deeper understanding of the tax choices of SMEs, illustrates their specific problems, and offers solutions to improve the sector’s situation. The research also provides a detailed description of the legal background of the tax forms that can be chosen by sole proprietorships and corporations, the options available to them, and the tax and contribution obligations they face.</w:t>
      </w:r>
    </w:p>
    <w:p>
      <w:pPr>
        <w:widowControl w:val="on"/>
        <w:pBdr/>
        <w:spacing w:before="240" w:after="240" w:line="240" w:lineRule="auto"/>
        <w:ind w:left="0" w:right="0"/>
        <w:jc w:val="left"/>
      </w:pPr>
      <w:r>
        <w:rPr>
          <w:color w:val="000000"/>
          <w:sz w:val="24"/>
          <w:szCs w:val="24"/>
        </w:rPr>
        <w:br/>
        <w:t xml:space="preserve">The paper focuses on sample enterprises, which will give the reader an idea of the differences in the tax and contribution liability that can arise from the choice of different forms of income taxation. I have compared the different tax forms of five sample companies and identified the differences between them to determine which form of taxation is the most advantageous for the company based on its specific characteristics.</w:t>
      </w:r>
    </w:p>
    <w:p>
      <w:pPr>
        <w:widowControl w:val="on"/>
        <w:pBdr/>
        <w:spacing w:before="240" w:after="240" w:line="240" w:lineRule="auto"/>
        <w:ind w:left="0" w:right="0"/>
        <w:jc w:val="left"/>
      </w:pPr>
      <w:r>
        <w:rPr>
          <w:color w:val="000000"/>
          <w:sz w:val="24"/>
          <w:szCs w:val="24"/>
        </w:rPr>
        <w:br/>
        <w:t xml:space="preserve">In addition to the theoretical background, the research was also supported by practical experience, in the framework of which I interviewed four accountants working in different offices. Based on their experiences, I have identified the problems and constraints affecting the sector and proposed solutions to facilitate the choice of tax form.</w:t>
      </w:r>
    </w:p>
    <w:p>
      <w:pPr>
        <w:widowControl w:val="on"/>
        <w:pBdr/>
        <w:spacing w:before="240" w:after="240" w:line="240" w:lineRule="auto"/>
        <w:ind w:left="0" w:right="0"/>
        <w:jc w:val="left"/>
      </w:pPr>
      <w:r>
        <w:rPr>
          <w:color w:val="000000"/>
          <w:sz w:val="24"/>
          <w:szCs w:val="24"/>
        </w:rPr>
        <w:br/>
        <w:t xml:space="preserve">The analysis led me to conclude that the choice between income tax forms has a significant impact on the functioning of enterprises. However, in order to make this choice, business managers must be aware of how their company operates. Otherwise, they will not be able to make the right decision from the available options. My research aims to guide businesses that are not yet sure about their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58945">
    <w:multiLevelType w:val="hybridMultilevel"/>
    <w:lvl w:ilvl="0" w:tplc="59116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58945">
    <w:abstractNumId w:val="78058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103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