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LENNER LUCA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lennerluca15@gmail.com</w:t>
            </w:r>
            <w:r w:rsidRPr="002361E2">
              <w:rPr>
                <w:i/>
              </w:rPr>
              <w:br/>
            </w:r>
            <w:r w:rsidR="00A96AEC">
              <w:t>Angol-földrajz osztatlan tanárszak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Csapó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nyugalmazott egyetemi magántanár, ELTE BDPK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Lenner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ELTE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Bevásárlóközpontok a budapesti agglomerációban.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Resümé</w:t>
      </w:r>
      <w:r>
        <w:rPr>
          <w:color w:val="000000"/>
          <w:sz w:val="24"/>
          <w:szCs w:val="24"/>
        </w:rPr>
        <w:br/>
        <w:t xml:space="preserve">Lenner Luca</w:t>
      </w:r>
      <w:r>
        <w:rPr>
          <w:color w:val="000000"/>
          <w:sz w:val="24"/>
          <w:szCs w:val="24"/>
        </w:rPr>
        <w:br/>
        <w:t xml:space="preserve">Bevásárlóközpontok a budapesti agglomerációban</w:t>
      </w:r>
      <w:r>
        <w:rPr>
          <w:color w:val="000000"/>
          <w:sz w:val="24"/>
          <w:szCs w:val="24"/>
        </w:rPr>
        <w:br/>
        <w:t xml:space="preserve">A lakóhelyi szuburbanizáció következményeként a népesség területi átrendeződésével párhuzamosan megindult a Budapest körül a kereskedelmi tevékenység decentralizációja is. Az ezredforduló körüli években ennek jeleként az agglomerációban is sorra felépültek az autópályákhoz közeli bevásárlóközpontok, hatalmas áruházakkal és óriási parkolókkal. A tanulmányban ezt a folyamatot mutattuk be. Két kérdést jártunk körül: a budapesti agglomerációban található bevásárlóközpontok elhelyezkedését és azt, hogy a bevásárlóközpontok elválasztják vagy inkább összekötik a főváros peremét és az agglomerációs településeket? Az első kérdésre a válasz az, hogy az agglomerációs bevásárlóközpontok telephely választásának legfőbb telepítőtényezője a jó elérhetőség, jellemzően a kivezető utak és az autópályák mellett. A kereskedelmi tevékenység markáns koncentrációja figyelhető meg az M1-M7 autópályák menti területen, amely lehetővé teszi a fővárosból a bevásárlóközpontok gyors elérhetőségét. A térség üzletei komplex kínálatukkal, kedvező ár fekvésükkel további jelentős elszívó hatást gyakorolnak a főváros kiskereskedelmére. Ezzel szoros összefüggésben a másik kérdést úgy látjuk, hogy a kereskedelem által formált agglomerációs térszerkezetben a bevásárlóközpontok egyfajta összekötő elemként szolgálnak a főváros és az elővárosi gyűrű települései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505246">
    <w:multiLevelType w:val="hybridMultilevel"/>
    <w:lvl w:ilvl="0" w:tplc="958997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505246">
    <w:abstractNumId w:val="175052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1139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