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BORBÉLY-BARTIS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borbely-bartis.gergely@diak.crnl.hu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GYIMESI RÓBERT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gyimesi.robert@diak.crnl.hu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Ciszterci Rend Nagy Lajos Gimnáziuma és Kollégiuma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DONÁT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szantodonat06@gmail.com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Ciszterci Rend Nagy Lajos Gimnáziuma és Kollégiuma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VAS DOMONKOS VILMOS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vas.domonkos@diak.crnl.hu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Aszódi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Energiaválságból a fenntartható városok felé – Pécs villamosenergia-ellátásának nagy felbontású szimulációja és elemzése.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villamos energia a modern élet elengedhetetlen feltétele a XXI. században, és szerepe a jövőben csak tovább fog növekedni a dekarbonizációs célok miatt. Azonban az orosz-ukrán háború miatt kialakult elszálló árak és megnövekedett ellátásbiztonsági kockázat rávilágított ennek az infrastruktúrának a gyenge pontjaira. A jelenlegi helyzet felértékeli az energiabiztonság fogalmát, és az országokat energiastratégiájuk újragondolására készteti. Ezen okokból kifolyólag döntöttünk egy olyan kutatás mellett, melyben városunk, Pécs villamosenergia-ellátásának függetlenítését vizsgáltuk.</w:t>
      </w:r>
      <w:r>
        <w:rPr>
          <w:color w:val="000000"/>
          <w:sz w:val="24"/>
          <w:szCs w:val="24"/>
        </w:rPr>
        <w:br/>
        <w:t xml:space="preserve">Kutatásunk célja az volt, hogy a város földrajzi adottságait, valamint a fogyasztói igényeket figyelembe véve válasszuk ki a legmegfelelőbb erőműveket a város igényeinek kielégítésére. Pécs villamosenergia-igényét a MAVIR órás felbontású országos villamosenergia-fogyasztási adatai, valamint Pécs energiastratégiája alapján becsültük meg. Ehhez felmértük a város nap és szélenergia potenciáját, továbbá egy kis moduláris reaktor (Small Modular Reactor – SMR) rendszerbe illesztésének paramétereit. A szimulációhoz a Nemzetközi Atomenergia Ügynökség Energy Scenario Simulation Tool (ESST) elnevezésű programját használtuk, amelynek segítségével órás felbontású szimulációkat tudtunk készíteni a város villamosenergia-ellátásáról. A szimuláció eredményei alapján elemeztük a város ellátásának energiahordozó szerkezetét, az erőművek kihasználtságát, az atomerőmű hidrogén előállítását, illetve a villamos energia városon kívüli felhasználási lehetőségét. Távlati célunk az, hogy tisztázzuk, hogy egy ilyen SMR képes lenne-e városunk hő- és villamosenergia-ellátásának biztosítására.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47284">
    <w:multiLevelType w:val="hybridMultilevel"/>
    <w:lvl w:ilvl="0" w:tplc="34876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47284">
    <w:abstractNumId w:val="924472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179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