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DAVID UHRIN</w:t>
            </w:r>
          </w:p>
          <w:p w:rsidR="00C275A3" w:rsidRDefault="00186641" w:rsidP="00C275A3">
            <w:pPr>
              <w:pStyle w:val="Hallgatokepzes"/>
            </w:pPr>
            <w:r w:rsidRPr="002361E2">
              <w:rPr>
                <w:i/>
              </w:rPr>
              <w:t>david.uhrin@gmail.com</w:t>
            </w:r>
            <w:r w:rsidRPr="002361E2">
              <w:rPr>
                <w:i/>
              </w:rPr>
              <w:br/>
            </w:r>
            <w:r w:rsidR="00A96AEC">
              <w:t>Commerce and Marketing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Edit Szabo</w:t>
            </w:r>
          </w:p>
          <w:p w:rsidR="00DB4822" w:rsidRDefault="00DB4822" w:rsidP="009763E0">
            <w:pPr>
              <w:pStyle w:val="Konzulensektitulus"/>
            </w:pPr>
            <w:r w:rsidRPr="00DB4822">
              <w:t>lecturer,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B2B communication strategy in light of organisational diversity, analysis and synergies with the communication of corporate social responsibility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intends to compare the various organizational operational structures of traditional B2B communication and corporate social responsibility practices.</w:t>
      </w:r>
      <w:r>
        <w:rPr>
          <w:color w:val="000000"/>
          <w:sz w:val="24"/>
          <w:szCs w:val="24"/>
        </w:rPr>
        <w:br/>
        <w:t xml:space="preserve">Its fundamental goal is to identify the similarities between the methods examined, exploring and comparing differences concerning the two mentioned topics.</w:t>
      </w:r>
      <w:r>
        <w:rPr>
          <w:color w:val="000000"/>
          <w:sz w:val="24"/>
          <w:szCs w:val="24"/>
        </w:rPr>
        <w:br/>
        <w:t xml:space="preserve">My research is based on a compound matrix of an organizational activity (economic, defense, self-organizing, public service provider) and an organizational financing model (public and private).</w:t>
      </w:r>
      <w:r>
        <w:rPr>
          <w:color w:val="000000"/>
          <w:sz w:val="24"/>
          <w:szCs w:val="24"/>
        </w:rPr>
        <w:br/>
        <w:t xml:space="preserve">Further on, I examine, among other things, the comparison of B2B and B2C markets, the most typical online and offline solutions, and the effects of the pandemic on intercorporate relations.</w:t>
      </w:r>
      <w:r>
        <w:rPr>
          <w:color w:val="000000"/>
          <w:sz w:val="24"/>
          <w:szCs w:val="24"/>
        </w:rPr>
        <w:br/>
        <w:t xml:space="preserve">The next examined topic is corporate social responsibility, i.e., CSR. There are many responsibilities in addition to its interpretation and type, I examine it taking into account its criticism, not only as an organizational trend but also as a potential marketing and communication tool, as well as the objective and the organizational culture-based intention.</w:t>
      </w:r>
      <w:r>
        <w:rPr>
          <w:color w:val="000000"/>
          <w:sz w:val="24"/>
          <w:szCs w:val="24"/>
        </w:rPr>
        <w:br/>
        <w:t xml:space="preserve">In the thesis, the consumer life cycle marketing created in the traditional B2C interpretation forms a bridge between the basis of organizational analysis and the reading of B2B. In terms of these, the key questions of the research are the following:</w:t>
      </w:r>
    </w:p>
    <w:p>
      <w:pPr>
        <w:pStyle w:val="ListParagraphPHPDOCX"/>
        <w:numPr>
          <w:ilvl w:val="0"/>
          <w:numId w:val="82032751"/>
        </w:numPr>
        <w:spacing w:before="0" w:after="0" w:line="240" w:lineRule="auto"/>
        <w:contextualSpacing/>
        <w:jc w:val="left"/>
        <w:rPr>
          <w:sz w:val="24"/>
          <w:szCs w:val="24"/>
        </w:rPr>
      </w:pPr>
      <w:r>
        <w:rPr>
          <w:color w:val="000000"/>
          <w:sz w:val="24"/>
          <w:szCs w:val="24"/>
        </w:rPr>
        <w:t xml:space="preserve">Does it have an impact on an organization's values, responsibility, and communication attitude, what kind of activities they do, and whether they are public or privately funded?</w:t>
      </w:r>
    </w:p>
    <w:p>
      <w:pPr>
        <w:pStyle w:val="ListParagraphPHPDOCX"/>
        <w:numPr>
          <w:ilvl w:val="0"/>
          <w:numId w:val="82032751"/>
        </w:numPr>
        <w:spacing w:before="0" w:after="0" w:line="240" w:lineRule="auto"/>
        <w:contextualSpacing/>
        <w:jc w:val="left"/>
        <w:rPr>
          <w:sz w:val="24"/>
          <w:szCs w:val="24"/>
        </w:rPr>
      </w:pPr>
      <w:r>
        <w:rPr>
          <w:color w:val="000000"/>
          <w:sz w:val="24"/>
          <w:szCs w:val="24"/>
        </w:rPr>
        <w:t xml:space="preserve">Do public sector representatives focus on corporate social responsibility activity, or is their primary operational goal a form of responsibility?</w:t>
      </w:r>
    </w:p>
    <w:p>
      <w:pPr>
        <w:pStyle w:val="ListParagraphPHPDOCX"/>
        <w:numPr>
          <w:ilvl w:val="0"/>
          <w:numId w:val="82032751"/>
        </w:numPr>
        <w:spacing w:before="0" w:after="0" w:line="240" w:lineRule="auto"/>
        <w:contextualSpacing/>
        <w:jc w:val="left"/>
        <w:rPr>
          <w:sz w:val="24"/>
          <w:szCs w:val="24"/>
        </w:rPr>
      </w:pPr>
      <w:r>
        <w:rPr>
          <w:color w:val="000000"/>
          <w:sz w:val="24"/>
          <w:szCs w:val="24"/>
        </w:rPr>
        <w:t xml:space="preserve">On which aspect of intercorporate communication do non-profit organizations place a stronger emphasis on building or maintaining cooperation?</w:t>
      </w:r>
    </w:p>
    <w:p>
      <w:pPr>
        <w:pStyle w:val="ListParagraphPHPDOCX"/>
        <w:numPr>
          <w:ilvl w:val="0"/>
          <w:numId w:val="82032751"/>
        </w:numPr>
        <w:spacing w:before="0" w:after="0" w:line="240" w:lineRule="auto"/>
        <w:contextualSpacing/>
        <w:jc w:val="left"/>
        <w:rPr>
          <w:sz w:val="24"/>
          <w:szCs w:val="24"/>
        </w:rPr>
      </w:pPr>
      <w:r>
        <w:rPr>
          <w:color w:val="000000"/>
          <w:sz w:val="24"/>
          <w:szCs w:val="24"/>
        </w:rPr>
        <w:t xml:space="preserve">Can CSR be used as a B2B marketing communication tool?</w:t>
      </w:r>
    </w:p>
    <w:p>
      <w:pPr>
        <w:widowControl w:val="on"/>
        <w:pBdr/>
        <w:spacing w:before="240" w:after="240" w:line="240" w:lineRule="auto"/>
        <w:ind w:left="0" w:right="0"/>
        <w:jc w:val="left"/>
      </w:pPr>
      <w:r>
        <w:rPr>
          <w:color w:val="000000"/>
          <w:sz w:val="24"/>
          <w:szCs w:val="24"/>
        </w:rPr>
        <w:t xml:space="preserve">Qualitative in-depth interviews are used to review the investigated areas and issues. The method was chosen since data cannot be quantified from the elements of the examined matrix. I would like to achieve the effectiveness of my research supported by exploration conversations and by learning the experts' personal opinions.</w:t>
      </w:r>
      <w:r>
        <w:rPr>
          <w:color w:val="000000"/>
          <w:sz w:val="24"/>
          <w:szCs w:val="24"/>
        </w:rPr>
        <w:br/>
        <w:t xml:space="preserve">The research provided an opportunity to study the operation and assessment of the two mentioned areas. It shows that the form of financing affects the organizations’ responsibilities and communication, induces the interconnection of areas, as well as that certain representatives of the public sector also carry out CSR activities.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32751">
    <w:multiLevelType w:val="hybridMultilevel"/>
    <w:lvl w:ilvl="0" w:tplc="35424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32751">
    <w:abstractNumId w:val="82032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986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