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AJTAY ADRIENN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ajtay.adrienn@gmail.com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Hegedűs Szilárd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Vállalati válságkezelés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2022-ben már nem az első, globális hatású válsággal kell szembenéznie a világnak. Ezen idő alatt közelről figyelemmel követtem, amint a környezetemben működő vállalkozásoknak folyamatosan innovatívan kellett reagálniuk az elmúlt évek kihívásaira.</w:t>
      </w:r>
      <w:r>
        <w:rPr>
          <w:color w:val="000000"/>
          <w:sz w:val="24"/>
          <w:szCs w:val="24"/>
        </w:rPr>
        <w:br/>
        <w:t xml:space="preserve">A válságmenedzselés tapasztalataiból arra következtethetünk, hogy a vállalatoknál megjelenő krízis hátterében általában sokrétű probléma áll, hiszen egyszerre kell javítania a pénzügyi, stratégiai, jövedelmezőségi és piaci helyzetén is. Kutatásom során törekedtem minél többet megtudni a válságmegelőzésről, - és kezelésről elérhető szakirodalomban ajánlott technikákról majd, a KSH és más korábbi kutatómunkák statisztikai adatfelméréseire, illetve személyes interjúimra támaszkodva értékeltem az elméleti modellek, a pénzügyi mutatók és válságkezelési stratégiák gyakorlati használatát. Vállalatok vezetőivel készített interjúk során személyes történeteik is részét képezték a kvalitatív adatgyűjtésnek.</w:t>
      </w:r>
      <w:r>
        <w:rPr>
          <w:color w:val="000000"/>
          <w:sz w:val="24"/>
          <w:szCs w:val="24"/>
        </w:rPr>
        <w:br/>
        <w:t xml:space="preserve">Dolgozatom fő hipotéziseként párhuzamokat kerestem az elméleti válságkezelés szakirodalmában fellelhető és a gyakorlatban jól bevált stratégiák között. A vizsgálatom eredményei azt mutatják, hogy különösen a magyar kis, - és középvállalkozások körében nincsen érvényben egy határozott válságmenedzselési stratégia. A kihívásokra érkező reakciókat inkább a vezetői improvizáció, tapasztalat vezérli. Ugyan eltérő tudatossággal, de érvényben vannak azok az elemek, melyek összefoglalásából a vállalati kríziskezelés szakirodalma táplálkozik.</w:t>
      </w:r>
      <w:r>
        <w:rPr>
          <w:color w:val="000000"/>
          <w:sz w:val="24"/>
          <w:szCs w:val="24"/>
        </w:rPr>
        <w:br/>
        <w:t xml:space="preserve">Ezen kívül arra is kerestem a választ, hogy a kis, - és középvállalkozások helyzetének elemzése során használnak-e különféle pénzügyi mutatókat, illetve ezeknek az eredményei befolyásolják-e a döntéseiket. A feltételezésemmel ellentétben a pénzügyi mutatókat nem minden vállalkozás használja egy válság előrejelzésére, más eszközökkel azonban folyamatos visszatekintő elemzést folytatnak, hogy felkészülhessenek a jövő kihívásaira.</w:t>
      </w:r>
      <w:r>
        <w:rPr>
          <w:color w:val="000000"/>
          <w:sz w:val="24"/>
          <w:szCs w:val="24"/>
        </w:rPr>
        <w:br/>
        <w:t xml:space="preserve">Végül arra a harmadik hipotézisre kerestem a kutatásom során igazolást, hogy a válságok idején az említett vállalkozásokat nagyban segítik az állami támogatások (például a kedvező hitelkonstrukciók, a fizetési moratórium, vagy a munkahelymegőrző támogatás). A környezetemben működő vállalkozások jövőképére ezen eszközök nem gyakoroltak számot tevő hatást. Az érintettekkel ápolt jó kapcsolat, a kommunikáció szerepe és a megfelelő cash-flow menedzsment azonban annál inkább döntő tényezők a vállalatok életében.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485086">
    <w:multiLevelType w:val="hybridMultilevel"/>
    <w:lvl w:ilvl="0" w:tplc="578902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485086">
    <w:abstractNumId w:val="994850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89449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