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AJTAY</w:t>
            </w:r>
          </w:p>
          <w:p w:rsidR="00C275A3" w:rsidRDefault="00186641" w:rsidP="00C275A3">
            <w:pPr>
              <w:pStyle w:val="Hallgatokepzes"/>
            </w:pPr>
            <w:r w:rsidRPr="002361E2">
              <w:rPr>
                <w:i/>
              </w:rPr>
              <w:t>ajtay.adrienn@gmail.com</w:t>
            </w:r>
            <w:r w:rsidRPr="002361E2">
              <w:rPr>
                <w:i/>
              </w:rPr>
              <w:br/>
            </w:r>
            <w:r w:rsidR="00A96AEC">
              <w:t>Finance and Accounting</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Szilárd Hegedűs, Ph. D.</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crisis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2022 it is not the first time that our world has to face a global crisis. During this short period of time I could follow the innovative reactions of the small businesses to the challenges of the recent years.</w:t>
      </w:r>
      <w:r>
        <w:rPr>
          <w:color w:val="000000"/>
          <w:sz w:val="24"/>
          <w:szCs w:val="24"/>
        </w:rPr>
        <w:br/>
        <w:t xml:space="preserve">On the grounds of crisis management experiences, we can conclude that there are several reasons behind an occurring crisis, since a company usually has to improve both its financial and strategic situation, its profitability and its market share at the same time.</w:t>
      </w:r>
      <w:r>
        <w:rPr>
          <w:color w:val="000000"/>
          <w:sz w:val="24"/>
          <w:szCs w:val="24"/>
        </w:rPr>
        <w:br/>
        <w:t xml:space="preserve">During my research I aspired to deepen my knowledge about crisis prevention, management, and resolution, based on the available scientific literature. Then I evaluated the practicability of the risk management techniques, the theoretical models, and financial ratios with the help of statistical databases of the Hungarian Central Statistical Office and further statistical databases of previous researchers. The personal stories of my own interviews conducted with business leaders form an integral part of the qualitative research.</w:t>
      </w:r>
      <w:r>
        <w:rPr>
          <w:color w:val="000000"/>
          <w:sz w:val="24"/>
          <w:szCs w:val="24"/>
        </w:rPr>
        <w:br/>
        <w:t xml:space="preserve">As the central question of my study, I sought to draw parallels between the theoretical risk management models and the practically implemented best practices. My findings show that – especially among small businesses – there are no specific strategies implemented. Instead, the main driver behind reactions to the challenges are the improvisation and experience of the business leaders. With different levels of awareness, but several elements of theoretical crisis management techniques are applied.</w:t>
      </w:r>
      <w:r>
        <w:rPr>
          <w:color w:val="000000"/>
          <w:sz w:val="24"/>
          <w:szCs w:val="24"/>
        </w:rPr>
        <w:br/>
        <w:t xml:space="preserve">Furthermore, I also looked for a clear answer to whether small and medium-sized enterprises use different financial ratios for the analysis of their situation, and if so, how do the outcomes influence their decision making. Contrary to what I anticipated before, accounting ratios are not used by every company, however, continuous strategic reflection is carried out by other means, in order to prepare for the future challenges.</w:t>
      </w:r>
      <w:r>
        <w:rPr>
          <w:color w:val="000000"/>
          <w:sz w:val="24"/>
          <w:szCs w:val="24"/>
        </w:rPr>
        <w:br/>
        <w:t xml:space="preserve">Finally, I was looking for evidence for my third research question, that in times of economic downswings, government subsidies (beneficial lending facilities, moratorium on loan repayments, state aid for preserving jobs) are crucial for small businesses. These measures did not have a significant effect on the vision of enterprises operating in my region. Unlike state support, ensuring good and stable relations with their stakeholders, transparent communication and proper cash-flow management played an inevitable role in the success of small businesses.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913101">
    <w:multiLevelType w:val="hybridMultilevel"/>
    <w:lvl w:ilvl="0" w:tplc="57241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913101">
    <w:abstractNumId w:val="69913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619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