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ZITA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zita.kis00@gmail.com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Wilhelm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Népmozgalmi vizsgálatok Indiában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országainak társadalmai folyamatosan fejlődnek, ennek a fejlettségnek köszönhetően a lakosság egyre mobilisabbá válik. Jelentős számban kezd a népesség vándorlási folyamatokba, mind az országhatárokon belül, mind azokat átlépve is. A vándorlás általában szelektív, az életkor, a képzettségi szint és a nemek szerint is különbségeket találunk. A női vándorlásokat kiváltó okok szerteágazóak lehetnek, az egyén élethelyzetéből, társadalmi-kulturális hátteréből adódóan sajátos motivációval indulhat útnak. A belső vándorlásokat India tökéletesen szemlélteti, népességszámából és az ország területi különbségeiből fakadóan jelentős számban vesznek részt az országon belüli migrációban. A nemek közti egyenlőtlenségek a vándorlásokban is láthatóvá válnak, a női népesség – szemben az általános társadalomföldrajzi példákkal és törvényszerűségekkel – kötelezettségeiből fakadóan, lakói dominánsan részt vesz a migrációban. A 2011-es indiai népszámlálási adatokból a női vándorlások általános ismérveire és területi sajátosságaira is választ kaphattam. A szekunder módszerekkel feldolgozott vándorlási adatok igazolták az előre megfogalmazott hipotéziseimet. Igazolják, hogy a női népvándorlási tendenciákhoz hasonlóan Indiában is a rövidebb földrajzi távolságú, általában a vidéki terek között történő vándorlásokban érintettek. A városi terek vonzóhatása, és az urbanizáció jelei szintén megmutatkoznak. A női népesség jellemzően a körzeteken belül, illetve intraregionális módon, azaz tagállamon belül változtatja lakóhelyét. Az interregionális vándorlás esetén, amennyiben államhatár átlépés történik, akkor is általában a rövidebb távolság dominál, a szomszédos körzetekre esik a választás. A női vándorlás mögötti indokok közül kiemelkedik a házasság általi kötelezettségük, mely a sajátos társadalmi berendezkedésnek köszönhető. Munkámmal alapvető célom, átfogó képet adni a nők érintettségéről, szerepéről és helyzetéről az Indián belül zajló vándorlásokban.</w:t>
      </w:r>
      <w:r>
        <w:rPr>
          <w:color w:val="000000"/>
          <w:sz w:val="24"/>
          <w:szCs w:val="24"/>
        </w:rPr>
        <w:br/>
        <w:t xml:space="preserve">Kulcsszavak: belső vándorlás, női vándorlás, India, intraregionális vándorlás, interregionális vándorlás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68200">
    <w:multiLevelType w:val="hybridMultilevel"/>
    <w:lvl w:ilvl="0" w:tplc="77128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68200">
    <w:abstractNumId w:val="158682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935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