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elekbalazs01@gmail.com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GOSZTONYI BENCE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gosztonyibence@gmail.com</w:t>
            </w:r>
            <w:r w:rsidRPr="002361E2">
              <w:rPr>
                <w:i/>
              </w:rPr>
              <w:br/>
            </w:r>
            <w:bookmarkEnd w:id="1"/>
            <w:r w:rsidR="00C275A3">
              <w:t>Biológia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Szűcs Boldizsár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tájban előforduló erdeiegér (Apodemus) fajok területhasználata és mozgásmintázata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tájat egyrészről nagyfokú fragmentáltság, másrészt a nagyterületű monokultúrák okozta térbeli homogenitás okoz jelentős biodiverzitás csökkenést. Bár a kisemlősök a mezőgazdasági területeken a rendelkezésre álló élőhelyek teljes skáláján megtalálhatók, táji léptékben a diverzitásuk és a biomasszájuk alacsonyabb, mint a nagyobb, természetes élőhelyeken. Jelen vizsgálatban a felmért mezőgazdasági területen együttesen megjelenő, a Magyarországon előforduló négy erdeiegérfaj (Apodemus spp.), a sárganyakú, a közönséges, a kislábú és a pirókerdeiegér kisemlős közösségben megjelenő gyakorisági viszonyait, területhasználatát és mozgásmintázatát vizsgáltuk.</w:t>
      </w:r>
      <w:r>
        <w:rPr>
          <w:color w:val="000000"/>
          <w:sz w:val="24"/>
          <w:szCs w:val="24"/>
        </w:rPr>
        <w:br/>
        <w:t xml:space="preserve">Eredményeink alapján a parcella területeken a mezei pocok dominanciája volt jellemző. Az egyes fajpárok együtt előfordulása a parcellák többségében pozitív asszociáltságot mutatott, míg a sövényekben ez nem volt megfigyelhető. A vizsgált fajok mozgástávolságai esetében a rövidtávú mozgás esetén kaptunk szignifikáns különbséget. Az élőhelypreferencia tekintetében megállapítottuk, hogy a sárganyakú és a közönséges erdeiegér a sövényeket, míg a kislábú erdeiegér a nyílt élőhelyeket preferálta.</w:t>
      </w:r>
      <w:r>
        <w:rPr>
          <w:color w:val="000000"/>
          <w:sz w:val="24"/>
          <w:szCs w:val="24"/>
        </w:rPr>
        <w:br/>
        <w:t xml:space="preserve">Mindezek alapján elmondható, hogy a mezőgazdasági mozaikban, mind a féltermészetes sövényeknek, mind a mátrixnak tekinthető művelt parcelláknak fontos szerepe van a kisemlősök éltmenetében, de ezeknek a területeknek a fontossága fajonként eltérő.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79837">
    <w:multiLevelType w:val="hybridMultilevel"/>
    <w:lvl w:ilvl="0" w:tplc="30249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79837">
    <w:abstractNumId w:val="16979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058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