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REKA KISS</w:t>
            </w:r>
          </w:p>
          <w:p w:rsidR="00C275A3" w:rsidRDefault="00186641" w:rsidP="00C275A3">
            <w:pPr>
              <w:pStyle w:val="Hallgatokepzes"/>
            </w:pPr>
            <w:r w:rsidRPr="002361E2">
              <w:rPr>
                <w:i/>
              </w:rPr>
              <w:t>kissrekax@gmail.com</w:t>
            </w:r>
            <w:r w:rsidRPr="002361E2">
              <w:rPr>
                <w:i/>
              </w:rPr>
              <w:br/>
            </w:r>
            <w:r w:rsidR="00A96AEC">
              <w:t>Finance and Accounting</w:t>
            </w:r>
            <w:r w:rsidR="00A96AEC">
              <w:br/>
            </w:r>
            <w:r w:rsidR="00E77B23">
              <w:t>BSc, 7.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Balazs Vonnak</w:t>
            </w:r>
          </w:p>
          <w:p w:rsidR="00DB4822" w:rsidRDefault="00DB4822" w:rsidP="009763E0">
            <w:pPr>
              <w:pStyle w:val="Konzulensektitulus"/>
            </w:pPr>
            <w:r w:rsidRPr="00DB4822">
              <w:t>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Federal Reserve's and European Central Bank's monetary policy on Central and Eastern European financial asset prices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order to fight global inflation, the most important central banks of the world have started their monetary tightening cycles - liquidity is shrinking, the interest rate environment is rising and the yields are increasing on less risky assets. What does all this mean for emerging countries' independent and efficient monetary policy? In my study, I analyze the spillover effects of the Federal Reserve’s and European Central Bank’s monetary policy on Central and Eastern European financial asset prices using high-frequency identification. According to the results, both central banks’ monetary decisions have a significant effect: after a tightening surprise, the CEE region’s stock markets decline, the yields of government bonds rise and their exchange rate depreciates. The Fed is the more important central bank in stock and currency markets. The spillover effects also emerge in the case of unconventional monetary policy tools. When estimating the spillover effects of the European Central Bank, it is crucial to differentiate between the pure monetary and the information shocks.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90180">
    <w:multiLevelType w:val="hybridMultilevel"/>
    <w:lvl w:ilvl="0" w:tplc="73046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90180">
    <w:abstractNumId w:val="911901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5965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