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IVUSZA PATRIK</w:t>
            </w:r>
          </w:p>
          <w:p w:rsidR="00C275A3" w:rsidRDefault="00186641" w:rsidP="00C275A3">
            <w:pPr>
              <w:pStyle w:val="Hallgatokepzes"/>
            </w:pPr>
            <w:r w:rsidRPr="002361E2">
              <w:rPr>
                <w:i/>
              </w:rPr>
              <w:t>ivusza.patrik@gmail.com</w:t>
            </w:r>
            <w:r w:rsidRPr="002361E2">
              <w:rPr>
                <w:i/>
              </w:rPr>
              <w:br/>
            </w:r>
            <w:r w:rsidR="00A96AEC">
              <w:t>Földrajztanár - testnevelő tanár </w:t>
            </w:r>
            <w:r w:rsidR="00A96AEC">
              <w:br/>
            </w:r>
            <w:r w:rsidR="00E77B23">
              <w:t>Osztatlan, 9. félév</w:t>
            </w:r>
          </w:p>
          <w:p w:rsidR="00C265CE" w:rsidRPr="009E5FF1" w:rsidRDefault="00E77B23" w:rsidP="009763E0">
            <w:pPr>
              <w:pStyle w:val="Hallgatointezmeny-kar"/>
              <w:rPr>
                <w:b/>
                <w:caps/>
              </w:rPr>
            </w:pPr>
            <w:r>
              <w:t>Pécsi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Váczi Márk</w:t>
            </w:r>
          </w:p>
          <w:p w:rsidR="00DB4822" w:rsidRDefault="00DB4822" w:rsidP="009763E0">
            <w:pPr>
              <w:pStyle w:val="Konzulensektitulus"/>
            </w:pPr>
            <w:r w:rsidRPr="00DB4822">
              <w:t>egyetemi docens, PTE TTK</w:t>
            </w:r>
          </w:p>
        </w:tc>
      </w:tr>
      <w:tr w:rsidR="00DB4822" w:rsidTr="00DB4822">
        <w:tc>
          <w:tcPr>
            <w:tcW w:w="9854" w:type="dxa"/>
          </w:tcPr>
          <w:p w:rsidR="00DB4822" w:rsidRPr="00DB4822" w:rsidRDefault="00DB4822" w:rsidP="009763E0">
            <w:pPr>
              <w:pStyle w:val="Konzulenseknev"/>
            </w:pPr>
            <w:r w:rsidRPr="00DB4822">
              <w:t>Sebesi Balázs</w:t>
            </w:r>
          </w:p>
          <w:p w:rsidR="00DB4822" w:rsidRDefault="00DB4822" w:rsidP="009763E0">
            <w:pPr>
              <w:pStyle w:val="Konzulensektitulus"/>
            </w:pPr>
            <w:r w:rsidRPr="00DB4822">
              <w:t>PhD hallgató,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proprioceptív edzésháttér hatása a lábszári izmok stabilizációs stratégiájára instabil leérkezésnél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w:t>
      </w:r>
      <w:r>
        <w:rPr>
          <w:color w:val="000000"/>
          <w:sz w:val="24"/>
          <w:szCs w:val="24"/>
        </w:rPr>
        <w:br/>
        <w:t xml:space="preserve">Számos vizsgálat foglalkozott a boka rándulás biomechanikájának feltárásával. Korábban bebizonyították, hogy alacsonyabb a lábszári izmok EMG aktivitása, ismeretlen irányba eldöntött felületre való leérkezés során. Kosárlabdázók mérkőzéseik során számtalanszor hajtanak végre egylábas leérkezést, szerencsétlen esetben épp az ellenfél lábfejére, ami egy ismeretlen felület. Ez vélhetően kialakít egy neuromuszkuláris proprioceptív adaptálódást, ami segíti a sérülés elkerülését. Kutatásunkban bizonytalan felületre végrehajtott egylábas leérkezések végrehajtásával vizsgáljuk, hogy a kosárlabdázóknak szignifikánsan magasabb lesz-e a bokaízületet stabilizáló izmok EMG preaktivitása az úszók, vagy atlétákhoz képest. Illetve, hogy magasabb szintű egyensúlyozó képességgel rendelkeznek-e a másik két csoporthoz képest?</w:t>
      </w:r>
    </w:p>
    <w:p>
      <w:pPr>
        <w:widowControl w:val="on"/>
        <w:pBdr/>
        <w:spacing w:before="240" w:after="240" w:line="240" w:lineRule="auto"/>
        <w:ind w:left="0" w:right="0"/>
        <w:jc w:val="left"/>
      </w:pPr>
      <w:r>
        <w:rPr>
          <w:color w:val="000000"/>
          <w:sz w:val="24"/>
          <w:szCs w:val="24"/>
        </w:rPr>
        <w:t xml:space="preserve">Anyagok és módszerek</w:t>
      </w:r>
      <w:r>
        <w:rPr>
          <w:color w:val="000000"/>
          <w:sz w:val="24"/>
          <w:szCs w:val="24"/>
        </w:rPr>
        <w:br/>
        <w:t xml:space="preserve">A vizsgálatunkban 27 egészséges férfi vett részt. Előszőr megmértük a boka körüli dorsal-, plantarflexor, supinator, és pronator izmok maximális erejét. Ezután 30 cm magasságból egylábas leérkezéseket hajtottak végre a billenőfelületre ismert, és ismeretlen kondíciókban. EMG elektródák segítségével mértük a tibialis anterior, peroneus longus, gastrocnemius medialis, lateralis, és a soleus izmok aktivitását az első két teszt során. Ezután Togu® Jumper®-en egyensúlyozó tesztet hajtottak végre közben mozgáskövető szenzorral mértük a testszegmens kilengés nagyságát.</w:t>
      </w:r>
    </w:p>
    <w:p>
      <w:pPr>
        <w:widowControl w:val="on"/>
        <w:pBdr/>
        <w:spacing w:before="240" w:after="240" w:line="240" w:lineRule="auto"/>
        <w:ind w:left="0" w:right="0"/>
        <w:jc w:val="left"/>
      </w:pPr>
      <w:r>
        <w:rPr>
          <w:color w:val="000000"/>
          <w:sz w:val="24"/>
          <w:szCs w:val="24"/>
        </w:rPr>
        <w:t xml:space="preserve">Eredmények</w:t>
      </w:r>
      <w:r>
        <w:rPr>
          <w:color w:val="000000"/>
          <w:sz w:val="24"/>
          <w:szCs w:val="24"/>
        </w:rPr>
        <w:br/>
        <w:t xml:space="preserve">Ismeretlen bokaízületi supinatio során a kosárlabdázók m. peroneus longus preaktivációja szignifikánsan magasabb volt, mint az úszóké (p=0,02). Ismeretlen bokaízületi dorsalflexió során a kosárlabdázók m. triceps surea preaktivációja szignifikánsan magasabb volt, mint az úszóké (p=0,003), és az atlétáké (p=0,02). Az egyensúlyozó teszt során egyik vizsgált síkban sem volt szignifikáns különbség a csoportok értékei között.</w:t>
      </w:r>
    </w:p>
    <w:p>
      <w:pPr>
        <w:widowControl w:val="on"/>
        <w:pBdr/>
        <w:spacing w:before="240" w:after="240" w:line="240" w:lineRule="auto"/>
        <w:ind w:left="0" w:right="0"/>
        <w:jc w:val="left"/>
      </w:pPr>
      <w:r>
        <w:rPr>
          <w:color w:val="000000"/>
          <w:sz w:val="24"/>
          <w:szCs w:val="24"/>
        </w:rPr>
        <w:t xml:space="preserve">Megbeszélés</w:t>
      </w:r>
      <w:r>
        <w:rPr>
          <w:color w:val="000000"/>
          <w:sz w:val="24"/>
          <w:szCs w:val="24"/>
        </w:rPr>
        <w:br/>
        <w:t xml:space="preserve">Több ismeretlen irányú leérkezés során kapott relatív EMG értékekből arra következtethetünk, hogy a kosárlabdázás során fellépő váratlan ingerek kialakították a neuromuszkuláris adaptálódást. Ez segíthet elkerülni a laterálisan elhelyezkedő bokaszalagok károsodását. Továbbá, hogy a bizonytalan felületen meglévő egyensúlyozó-képesség nem prognosztizálja a kosárlabdázókra jellemző dinamikus leérkezésekhez történő alkalmazkodás jellemző lenne a másik két csoportra is.</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210565">
    <w:multiLevelType w:val="hybridMultilevel"/>
    <w:lvl w:ilvl="0" w:tplc="255055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210565">
    <w:abstractNumId w:val="332105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4264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