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BOCZÁN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boczan.boldizsar99@gmail.com</w:t>
            </w:r>
            <w:r w:rsidRPr="001067CD">
              <w:rPr>
                <w:i/>
              </w:rPr>
              <w:br/>
            </w:r>
            <w:r w:rsidR="00A96AEC">
              <w:t>Vegyész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Kormos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Eötvös Loránd Kutatási Hálózat Szerves 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Eötvös Loránd Kutatási Hálózat Szerves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Stokes-eltolódású, hatékonyan kioltott fluorogén jelzővegyületek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flureszcencia; florofór; tetrazin;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fluoreszcens mikroszkópia során felmerülő háttérfluoreszcencia jelensége, mely a feleslegben alkalmazott, nem specifikusan kötött jelzőmolekuláktól származik, jelentősen rontja a detektálás érzékenységét. A biológiai környezet saját, autofluoreszcenciaként megjelenő természetes emissziója szintén rontja az érzékenységet. Míg az autofluoreszcencia kiküszöbölhető vörös tartomány felé eltolt, vagy nagy Stokes eltolódású festékek használatával, addig a háttérfluoreszcencia okozta problémákat fluorogén jelzővegyületekkel lehet kiküszöbölni.</w:t>
      </w:r>
      <w:r>
        <w:rPr>
          <w:color w:val="000000"/>
          <w:sz w:val="24"/>
          <w:szCs w:val="24"/>
        </w:rPr>
        <w:br/>
        <w:t xml:space="preserve">Az ún. click-to-release reakciókban az IEDDA reakció olyan kaszkádfolyamatot indít el, melynek eredménye egy kötés hasadása. Az ilyen típusú reakciók egyre népszerűbbek a molekuláris biológia és az orvostudomány területén, mivel lehetőséget adnak hatóanyagok kémiai reakció által kontrollált felszabadítására.</w:t>
      </w:r>
      <w:r>
        <w:rPr>
          <w:color w:val="000000"/>
          <w:sz w:val="24"/>
          <w:szCs w:val="24"/>
        </w:rPr>
        <w:br/>
        <w:t xml:space="preserve">Fluoroforok egy csoportját képviselik azok a donor-akceptor festékek, melyekben a donor szerepét fenolát tölti be. Abban az esetben, ha a fenolát szubsztituált, kioltott fluoreszcenciával rendelkeznek. Amennyiben valamilyen külső hatásra a blokkolócsoport lehasad, jelentős intenzitásnövekedés tapasztalható. A tetrazin kiváltotta fluorogenicitással szemben ez a mechanizmus hullámhosszfüggetlen, így jól használható vörös tartományban is.</w:t>
      </w:r>
      <w:r>
        <w:rPr>
          <w:color w:val="000000"/>
          <w:sz w:val="24"/>
          <w:szCs w:val="24"/>
        </w:rPr>
        <w:br/>
        <w:t xml:space="preserve">Kutatómunkám során olyan, hatékonyan kioltott, vörös tartomány felé eltolt gerjesztéssel és emisszióval rendelkező fluorogén donor-akceptor festék előállítását tűztem ki célul melyekben click-to-release mechanizmusra alkalmas tetrazinokat kombináltam in situ keletkező kinon metiddel. Ezekben a tetrazin biztosítja a specifikus célzást, egyben alkalmas a fenolát blokkoló csoportjaként is funkcionálni.</w:t>
      </w:r>
      <w:r>
        <w:rPr>
          <w:color w:val="000000"/>
          <w:sz w:val="24"/>
          <w:szCs w:val="24"/>
        </w:rPr>
        <w:br/>
        <w:t xml:space="preserve">Munkám során sikeresen előállítottam a tervezett alapvázakból kettőt, valamint a további alapvázak előállítása is biztató utakon jár. Az előállított alapvázakhoz sikeresen kapcsoltam önfeláldozó linkeren keresztül a tervezett tetrazinszármazékokat, így összesen 4 célterméken vizsgáltam a click-to-release reakciót.</w:t>
      </w:r>
      <w:r>
        <w:rPr>
          <w:color w:val="000000"/>
          <w:sz w:val="24"/>
          <w:szCs w:val="24"/>
        </w:rPr>
        <w:br/>
        <w:t xml:space="preserve">Két származék esetén a release elfogadható gyorsasággal megtörténik, a másik két származéknál lassabb reakciót tapasztaltam. A fluoreszcencia intenzitása az idő előrehaladtával nő, azonban más hullámhosszon jelentkezik, mint a referenciavegyületek mérésénél, így ez további vizsgálatot igényel.</w:t>
      </w:r>
      <w:r>
        <w:rPr>
          <w:color w:val="000000"/>
          <w:sz w:val="24"/>
          <w:szCs w:val="24"/>
        </w:rPr>
        <w:br/>
        <w:t xml:space="preserve">Távlati terveim között szerepel a további céltermékek előállítása, majd az ígéretes festékeket ezután in vitro majd in cellulo fehérjejelölési kísérletekben tervezzük tesztelni.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96958">
    <w:multiLevelType w:val="hybridMultilevel"/>
    <w:lvl w:ilvl="0" w:tplc="34182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96958">
    <w:abstractNumId w:val="91196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019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