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LEMLE ÁKOS</w:t>
            </w:r>
          </w:p>
          <w:p w:rsidR="00C275A3" w:rsidRDefault="00CA6B74" w:rsidP="00C275A3">
            <w:pPr>
              <w:pStyle w:val="Hallgatokepzes"/>
            </w:pPr>
            <w:r w:rsidRPr="001067CD">
              <w:rPr>
                <w:i/>
              </w:rPr>
              <w:t>lemleakos@student.elte.hu</w:t>
            </w:r>
            <w:r w:rsidRPr="001067CD">
              <w:rPr>
                <w:i/>
              </w:rPr>
              <w:br/>
            </w:r>
            <w:r w:rsidR="00A96AEC">
              <w:t>kémia</w:t>
            </w:r>
            <w:r w:rsidR="00A96AEC">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Steckel Arnold</w:t>
            </w:r>
          </w:p>
          <w:p w:rsidR="00DB4822" w:rsidRDefault="00DB4822" w:rsidP="00BA6BAF">
            <w:pPr>
              <w:pStyle w:val="Konzulensektitulus"/>
            </w:pPr>
            <w:r w:rsidRPr="00DB4822">
              <w:t>tudományos segédmunkatárs, ELTE TTK</w:t>
            </w:r>
          </w:p>
        </w:tc>
      </w:tr>
      <w:tr w:rsidR="00DB4822" w:rsidTr="00DB4822">
        <w:tc>
          <w:tcPr>
            <w:tcW w:w="9854" w:type="dxa"/>
          </w:tcPr>
          <w:p w:rsidR="00DB4822" w:rsidRPr="00DB4822" w:rsidRDefault="00DB4822" w:rsidP="00BA6BAF">
            <w:pPr>
              <w:pStyle w:val="Konzulenseknev"/>
            </w:pPr>
            <w:r w:rsidRPr="00DB4822">
              <w:t>Schlosser Gitta</w:t>
            </w:r>
          </w:p>
          <w:p w:rsidR="00DB4822" w:rsidRDefault="00DB4822" w:rsidP="00BA6BAF">
            <w:pPr>
              <w:pStyle w:val="Konzulensektitulus"/>
            </w:pPr>
            <w:r w:rsidRPr="00DB4822">
              <w:t>egyetemi 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Tömegspektrometria alapú peptidtérképezés optimálása újszerű emésztőenzimmel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tömegspektrometria; ProAlanáz; proteomika; emésztőenzim; peptid</w:t>
      </w:r>
      <w:r>
        <w:t xml:space="preserve"/>
      </w:r>
    </w:p>
    <w:p>
      <w:pPr>
        <w:widowControl w:val="on"/>
        <w:pBdr/>
        <w:spacing w:before="240" w:after="240" w:line="240" w:lineRule="auto"/>
        <w:ind w:left="0" w:right="0"/>
        <w:jc w:val="left"/>
      </w:pPr>
      <w:r>
        <w:rPr>
          <w:color w:val="000000"/>
          <w:sz w:val="24"/>
          <w:szCs w:val="24"/>
        </w:rPr>
        <w:t xml:space="preserve">A fehérjék szekvenciájának meghatározásához alapvető jelentőségű a fehérjék enzimatikus emésztésével nyert peptidek tandem tömegspektrometriás fragmentációjának (MS/MS) minél behatóbb ismerete. Az enzimatikus emésztés során leggyakrabban alkalmazott enzim a tripszin, amely ideális méretű és jól azonosítható, ún. triptikus peptidek keletkezését eredményezi. A triptikus peptidek túlnyomórészt arginin és lizin C-terminálissal rendelkeznek, és a leggyakrabban használt ütközésindukált fragmentációval jól vizsgálhatók. Vannak azonban esetek, amikor a tripszin alkalmazása nem célravezető. Ilyenkor alternatív enzimek használata javasolt, amelyek más aminosavpozíciókban hidrolizálják el az amidkötéseket, mint a tripszin. Ilyen speciális, új típusú proteáz a ProAlanáz, melynek használata során főként prolinra és alaninra végződő peptidek keletkeznek.</w:t>
      </w:r>
      <w:r>
        <w:rPr>
          <w:color w:val="000000"/>
          <w:sz w:val="24"/>
          <w:szCs w:val="24"/>
        </w:rPr>
        <w:br/>
        <w:t xml:space="preserve">Legjobb tudomásom szerint a ProAlanázzal történő emésztés révén keletkező peptidek fragmentációs tulajdonságait részleteiben eddig még nem vizsgálták. Kutatómunkám során ezért két gyakran használt modellfehérje, az élesztő alkohol dehidrogenáz (ADH) és szarvasmarha szérum albumin (BSA) enzimatikus emésztését tűztem ki célul ProAlanáz segítségével. A keletkező peptideket HPLC-MS/MS mérések segítségével terveztem azonosítani. Célom volt meghatározni az azonosítás szempontjából optimális ütközésienergia-értékeket, és egy Kapp és munkatársai által [1] használt módszer segítségével megállapítani, hogy mely aminosavak között kedvezményezett/gátolt az amidkötések hasadása.</w:t>
      </w:r>
      <w:r>
        <w:rPr>
          <w:color w:val="000000"/>
          <w:sz w:val="24"/>
          <w:szCs w:val="24"/>
        </w:rPr>
        <w:br/>
        <w:t xml:space="preserve">A peptidek a 20-45 V energiatartományban voltak leghatékonyabban azonosíthatók. 92%-uk egy vagy két amidkötésnél nem mutatott egyáltalán hasadást. A legtöbb aminosav között az átlagosnál kevésbé történt kötéshasadás, különösen az arginin N-és C-terminálisán, és annak környezetében. Ez megnehezítheti az adatbázisokban nem szereplő fehérjék azonosítását. A ProAlanáz viszont jól használható lehet olyan esetekben, amikor az arginin valamilyen bázicitást csökkentő módosítást szenved.</w:t>
      </w:r>
    </w:p>
    <w:p>
      <w:pPr>
        <w:widowControl w:val="on"/>
        <w:pBdr/>
        <w:spacing w:before="240" w:after="240" w:line="240" w:lineRule="auto"/>
        <w:ind w:left="0" w:right="0"/>
        <w:jc w:val="left"/>
      </w:pPr>
      <w:r>
        <w:rPr>
          <w:color w:val="000000"/>
          <w:sz w:val="24"/>
          <w:szCs w:val="24"/>
        </w:rPr>
        <w:drawing>
          <wp:inline distT="0" distB="0" distL="0" distR="0">
            <wp:extent cx="1440000" cy="1173600"/>
            <wp:docPr id="21615954" name="name163f8ea4d6df24" descr="imgtmp_89848_h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9848_hu_1.png"/>
                    <pic:cNvPicPr/>
                  </pic:nvPicPr>
                  <pic:blipFill>
                    <a:blip r:embed="rId163f8ea4d6dee0" cstate="print"/>
                    <a:stretch>
                      <a:fillRect/>
                    </a:stretch>
                  </pic:blipFill>
                  <pic:spPr>
                    <a:xfrm>
                      <a:off x="0" y="0"/>
                      <a:ext cx="1440000" cy="11736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1. ábra: A kísérletsorozatban keletkezett egyik peptid kötéshasadási preferenciái</w:t>
      </w:r>
      <w:r>
        <w:rPr>
          <w:color w:val="000000"/>
          <w:sz w:val="24"/>
          <w:szCs w:val="24"/>
        </w:rPr>
        <w:br/>
        <w:t xml:space="preserve">[1] Kapp, E. A. et al., Anal Chem 75 (22), 6251–6264 (2003)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27898">
    <w:multiLevelType w:val="hybridMultilevel"/>
    <w:lvl w:ilvl="0" w:tplc="77746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27898">
    <w:abstractNumId w:val="229278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2388704" Type="http://schemas.openxmlformats.org/officeDocument/2006/relationships/numbering" Target="numbering.xml"/><Relationship Id="rId163f8ea4d6dee0" Type="http://schemas.openxmlformats.org/officeDocument/2006/relationships/image" Target="media/imgrId163f8ea4d6dee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