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KOLLÁTI RÉKA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kollatireka@gmail.com</w:t>
            </w:r>
            <w:r w:rsidRPr="002361E2">
              <w:rPr>
                <w:i/>
              </w:rPr>
              <w:br/>
            </w:r>
            <w:r w:rsidR="00A96AEC">
              <w:t>Földtudományi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Ősi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magyarországi késő-kréta theropoda fogak morfológiai és táplálkozásökológiai alapú összehasonlítása más európai leletekkel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világon számos lelőhelyen kerülnek elő ragadozó dinoszaurusz (Theropoda) leletek, köztük</w:t>
      </w:r>
      <w:r>
        <w:rPr>
          <w:color w:val="000000"/>
          <w:sz w:val="24"/>
          <w:szCs w:val="24"/>
        </w:rPr>
        <w:br/>
        <w:t xml:space="preserve">hazánkban Iharkúton és Ajkán is. Ezek között a leletek között a leggyakoribb elemek a fogak.</w:t>
      </w:r>
      <w:r>
        <w:rPr>
          <w:color w:val="000000"/>
          <w:sz w:val="24"/>
          <w:szCs w:val="24"/>
        </w:rPr>
        <w:br/>
        <w:t xml:space="preserve">A fogak külső rétege, a zománc igen ellenálló anyag, így ezek sokkal jobb állapotban képesek</w:t>
      </w:r>
      <w:r>
        <w:rPr>
          <w:color w:val="000000"/>
          <w:sz w:val="24"/>
          <w:szCs w:val="24"/>
        </w:rPr>
        <w:br/>
        <w:t xml:space="preserve">fennmaradni, akár szállítódás esetén is, mint a csontok.</w:t>
      </w:r>
      <w:r>
        <w:rPr>
          <w:color w:val="000000"/>
          <w:sz w:val="24"/>
          <w:szCs w:val="24"/>
        </w:rPr>
        <w:br/>
        <w:t xml:space="preserve">Kutatásomban a legfontosabb késő-kréta, közép-európai lelőhelyekről vizsgáltam Theropoda</w:t>
      </w:r>
      <w:r>
        <w:rPr>
          <w:color w:val="000000"/>
          <w:sz w:val="24"/>
          <w:szCs w:val="24"/>
        </w:rPr>
        <w:br/>
        <w:t xml:space="preserve">fogakat, hogy összehasonlításukkal megtudjuk, mekkora hasonlóság volt a térben és időben</w:t>
      </w:r>
      <w:r>
        <w:rPr>
          <w:color w:val="000000"/>
          <w:sz w:val="24"/>
          <w:szCs w:val="24"/>
        </w:rPr>
        <w:br/>
        <w:t xml:space="preserve">eltérő, mégis egymáshoz viszonylag közelálló lelőhelyek Theropoda faunája között, mind a</w:t>
      </w:r>
      <w:r>
        <w:rPr>
          <w:color w:val="000000"/>
          <w:sz w:val="24"/>
          <w:szCs w:val="24"/>
        </w:rPr>
        <w:br/>
        <w:t xml:space="preserve">fogak morfológiáját, mind a táplálkozásból eredő fogkopást vizsgálva. Az iharkúti, illetve</w:t>
      </w:r>
      <w:r>
        <w:rPr>
          <w:color w:val="000000"/>
          <w:sz w:val="24"/>
          <w:szCs w:val="24"/>
        </w:rPr>
        <w:br/>
        <w:t xml:space="preserve">ajkai (santoni) Theropoda fogak állnak a kutatásom középpontjában, melyek között összesen</w:t>
      </w:r>
      <w:r>
        <w:rPr>
          <w:color w:val="000000"/>
          <w:sz w:val="24"/>
          <w:szCs w:val="24"/>
        </w:rPr>
        <w:br/>
        <w:t xml:space="preserve">7 taxont lehet elkülöníteni: Paronychodon sp., Paraves indet. 1., Paraves indet. 2., Paraves</w:t>
      </w:r>
      <w:r>
        <w:rPr>
          <w:color w:val="000000"/>
          <w:sz w:val="24"/>
          <w:szCs w:val="24"/>
        </w:rPr>
        <w:br/>
        <w:t xml:space="preserve">indet. 3., Theropoda indet. 1., Theropoda indet. 2., illetve Tetanurae. Ezeket vetettem össze,</w:t>
      </w:r>
      <w:r>
        <w:rPr>
          <w:color w:val="000000"/>
          <w:sz w:val="24"/>
          <w:szCs w:val="24"/>
        </w:rPr>
        <w:br/>
        <w:t xml:space="preserve">Lano-i, Gams-i, Tiefengraben-i, Vitrolles-i, illetve Hátszegi-medence beli fogakkal, melyek</w:t>
      </w:r>
      <w:r>
        <w:rPr>
          <w:color w:val="000000"/>
          <w:sz w:val="24"/>
          <w:szCs w:val="24"/>
        </w:rPr>
        <w:br/>
        <w:t xml:space="preserve">kiváló összehasonlítást nyújtanak az európai késő-kréta Theropodak jobb megismeréséhez. A</w:t>
      </w:r>
      <w:r>
        <w:rPr>
          <w:color w:val="000000"/>
          <w:sz w:val="24"/>
          <w:szCs w:val="24"/>
        </w:rPr>
        <w:br/>
        <w:t xml:space="preserve">példányokat mikroszkóppal, tolómérővel, illetve fotók alapján mértem, vagy adatbázisokból</w:t>
      </w:r>
      <w:r>
        <w:rPr>
          <w:color w:val="000000"/>
          <w:sz w:val="24"/>
          <w:szCs w:val="24"/>
        </w:rPr>
        <w:br/>
        <w:t xml:space="preserve">kigyűjtött adatokkal dolgoztam. A morfometriai összehasonlításhoz ezeket az adatokat</w:t>
      </w:r>
      <w:r>
        <w:rPr>
          <w:color w:val="000000"/>
          <w:sz w:val="24"/>
          <w:szCs w:val="24"/>
        </w:rPr>
        <w:br/>
        <w:t xml:space="preserve">használtam fel. A mért paraméterek logaritmizált adatait többváltozós főkomponens (PCA)</w:t>
      </w:r>
      <w:r>
        <w:rPr>
          <w:color w:val="000000"/>
          <w:sz w:val="24"/>
          <w:szCs w:val="24"/>
        </w:rPr>
        <w:br/>
        <w:t xml:space="preserve">elemzéssel vizsgáltam. Bár a fogak mérete nagyban befolyásolta a taxonok egymáshoz</w:t>
      </w:r>
      <w:r>
        <w:rPr>
          <w:color w:val="000000"/>
          <w:sz w:val="24"/>
          <w:szCs w:val="24"/>
        </w:rPr>
        <w:br/>
        <w:t xml:space="preserve">viszonyított elhelyezkedését, a recézettség, továbbá egyéb alaktani sajátosságok (pl. korona</w:t>
      </w:r>
      <w:r>
        <w:rPr>
          <w:color w:val="000000"/>
          <w:sz w:val="24"/>
          <w:szCs w:val="24"/>
        </w:rPr>
        <w:br/>
        <w:t xml:space="preserve">felszíni díszítettsége) elkülönítették egymástól a csoportokat. A fogkopás elemzéshez</w:t>
      </w:r>
      <w:r>
        <w:rPr>
          <w:color w:val="000000"/>
          <w:sz w:val="24"/>
          <w:szCs w:val="24"/>
        </w:rPr>
        <w:br/>
        <w:t xml:space="preserve">kiválasztott példányokon konfokális mikroszkóp segítségével készítettem el a vizsgált</w:t>
      </w:r>
      <w:r>
        <w:rPr>
          <w:color w:val="000000"/>
          <w:sz w:val="24"/>
          <w:szCs w:val="24"/>
        </w:rPr>
        <w:br/>
        <w:t xml:space="preserve">területek leképezését. A mikroszkóppal 100x-os nagyításnál készültek 2D, illetve 3D</w:t>
      </w:r>
      <w:r>
        <w:rPr>
          <w:color w:val="000000"/>
          <w:sz w:val="24"/>
          <w:szCs w:val="24"/>
        </w:rPr>
        <w:br/>
        <w:t xml:space="preserve">felvételek is a kopott zománcfelületről, melyek közül a 2D felvételeket aztán a Microware</w:t>
      </w:r>
      <w:r>
        <w:rPr>
          <w:color w:val="000000"/>
          <w:sz w:val="24"/>
          <w:szCs w:val="24"/>
        </w:rPr>
        <w:br/>
        <w:t xml:space="preserve">szoftver segítségével elemeztem. A fogak felszínén egyaránt látszódnak karcolások és kisebb</w:t>
      </w:r>
      <w:r>
        <w:rPr>
          <w:color w:val="000000"/>
          <w:sz w:val="24"/>
          <w:szCs w:val="24"/>
        </w:rPr>
        <w:br/>
        <w:t xml:space="preserve">gödrök is, de ezek a táplálkozásból eredő nyomok a Theropodak esetében általában csak a fog</w:t>
      </w:r>
      <w:r>
        <w:rPr>
          <w:color w:val="000000"/>
          <w:sz w:val="24"/>
          <w:szCs w:val="24"/>
        </w:rPr>
        <w:br/>
        <w:t xml:space="preserve">legkülső felszínén, a zománcon jelennek meg. A kutatás bizonyítja, hogy bár ezek a</w:t>
      </w:r>
      <w:r>
        <w:rPr>
          <w:color w:val="000000"/>
          <w:sz w:val="24"/>
          <w:szCs w:val="24"/>
        </w:rPr>
        <w:br/>
        <w:t xml:space="preserve">lelőhelyek mind más időszakot képviselnek, a Theropoda faunák sok hasonlóságot mutatnak</w:t>
      </w:r>
      <w:r>
        <w:rPr>
          <w:color w:val="000000"/>
          <w:sz w:val="24"/>
          <w:szCs w:val="24"/>
        </w:rPr>
        <w:br/>
        <w:t xml:space="preserve">egymással.</w:t>
      </w:r>
      <w:r>
        <w:rPr>
          <w:color w:val="000000"/>
          <w:sz w:val="24"/>
          <w:szCs w:val="24"/>
        </w:rPr>
        <w:br/>
        <w:t xml:space="preserve">Későbbi kutatásaim során tervezem kibővíteni az adatbázist más lelőhelyek Theropoda</w:t>
      </w:r>
      <w:r>
        <w:rPr>
          <w:color w:val="000000"/>
          <w:sz w:val="24"/>
          <w:szCs w:val="24"/>
        </w:rPr>
        <w:br/>
        <w:t xml:space="preserve">anyagával is, mely nagyban segít megérteni a Theropodak csoportjait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173318">
    <w:multiLevelType w:val="hybridMultilevel"/>
    <w:lvl w:ilvl="0" w:tplc="129848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173318">
    <w:abstractNumId w:val="991733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18351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