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SZALAY ÁRON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aronszala@student.elte.hu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Rakovics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Félelemre hangolva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ellenségképek jelentős szerepet töltöttek be az utóbbi néhány év politikai diskurzusában Magyarországon. Legyen szó médiahírekről, óriásplakátokról vagy Nemzeti Konzultációs ívekről, e szereplők részeivé váltak a közbeszédnek. Az ily módon, több forrásból megerősített negatív képek az általános félelemkeltés kiváló eszközei lehetnek (Kitzinger, 2000).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2015-2022 közötti Nemzeti Konzultációkban megismert ellenségképek megjelenését kutattam Orbán Viktor 2010-2022 közötti évértékelő és egyéb kiemelt beszédeiben. Kiemelt beszédként az évente rendszeresen ismétlődő, kiemelt médiafigyelemre számottartó beszédeket kezeltem (évértékelők, március 15-i, október 23-i ünnepi beszédek, Bálványosi Nyári Szabadegyetemi beszéd). A Nemzeti Konzultációkat kvalitatív módon értelmeztem és az ott megjelenő ellenségképeket egy adatbázisba gyűjtöttem, ami lehetővé tette a gyakoriságok megállapítását. A beszédek írott formájú korpuszán kvalitatív, annotálással végzett szövegelemzést és kvantitatív, szógyakoriságokon alapuló statisztikai elemzéseket végeztem. Az eredmények értelmezésében Sik Endre (2016) „Morálispánik-gomb” koncepcióját, valamint a Fairclough (1995; 2013) által lefektetett kritikai diskurzuselemzés princípiumait hívtam segítségül.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megállapítottam, hogy a kormányzati kommunikációban öt ellenségkép szerepel leggyakrabban, melyek a következők: bevándorlók, Brüsszel, ellenzék, Gyurcsány Ferenc, Soros György. Ezen ellenségképek megjelentek a miniszterelnök kiemelt beszédeiben, valamint az évértékelők túlnyomó többségében is. Megállapítottam továbbá, hogy az ellenségképek a vizsgált időszakban változó gyakorisággal jelentek meg. Adott ellenségképek hangsúlyozása gyakran kapcsolódott az időszak politikai kampányainak ellenségképeihez. 2022 bizonyult a legradikálisabb évnek ellenségképek megjelenése szempontjából, itt ugyanis, az összes vizsgált ellenségkép egyszerre volt jelen az évértékelőben és magasan reprezentálódott a kiemelt beszédek között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Hivatkozások:</w:t>
      </w:r>
      <w:r>
        <w:rPr>
          <w:color w:val="000000"/>
          <w:sz w:val="24"/>
          <w:szCs w:val="24"/>
        </w:rPr>
        <w:br/>
        <w:t xml:space="preserve">Fairclough, N. (1995). Critical Discourse Analysis. London.</w:t>
      </w:r>
      <w:r>
        <w:rPr>
          <w:color w:val="000000"/>
          <w:sz w:val="24"/>
          <w:szCs w:val="24"/>
        </w:rPr>
        <w:br/>
        <w:t xml:space="preserve">Fairclough, N. (2013). Critical discourse analysis: The critical study of language. Routledge.</w:t>
      </w:r>
      <w:r>
        <w:rPr>
          <w:color w:val="000000"/>
          <w:sz w:val="24"/>
          <w:szCs w:val="24"/>
        </w:rPr>
        <w:br/>
        <w:t xml:space="preserve">Kitzinger D. (2000). A morális pánik elmélete. Replika, (40), 23-48</w:t>
      </w:r>
      <w:r>
        <w:rPr>
          <w:color w:val="000000"/>
          <w:sz w:val="24"/>
          <w:szCs w:val="24"/>
        </w:rPr>
        <w:br/>
        <w:t xml:space="preserve">Sik E. (2016). Egy hungarikum: a morálispánik-gomb. Mozgó Világ, 42(10), 67-80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36614">
    <w:multiLevelType w:val="hybridMultilevel"/>
    <w:lvl w:ilvl="0" w:tplc="53385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36614">
    <w:abstractNumId w:val="87436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369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