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CSEHNÉ SZENDERÁK JÚLIA</w:t>
            </w:r>
          </w:p>
          <w:p w:rsidR="00C275A3" w:rsidRDefault="00186641" w:rsidP="00C275A3">
            <w:pPr>
              <w:pStyle w:val="Hallgatokepzes"/>
            </w:pPr>
            <w:r w:rsidRPr="002361E2">
              <w:rPr>
                <w:i/>
              </w:rPr>
              <w:t>szenderak.julia@gmail.com</w:t>
            </w:r>
            <w:r w:rsidRPr="002361E2">
              <w:rPr>
                <w:i/>
              </w:rPr>
              <w:br/>
            </w:r>
            <w:r w:rsidR="00A96AEC">
              <w:t>matematika - biológia osztatlan tanárszak</w:t>
            </w:r>
            <w:r w:rsidR="00A96AEC">
              <w:br/>
            </w:r>
            <w:r w:rsidR="00E77B23">
              <w:t>Osztatlan, 9.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STIRLING ANNA KRISZTINA</w:t>
            </w:r>
          </w:p>
          <w:p w:rsidR="00DB4822" w:rsidRDefault="00186641" w:rsidP="004D7940">
            <w:pPr>
              <w:pStyle w:val="Hallgatokepzes"/>
            </w:pPr>
            <w:bookmarkStart w:id="1" w:name="_GoBack"/>
            <w:r w:rsidRPr="002361E2">
              <w:rPr>
                <w:i/>
              </w:rPr>
              <w:t>stirling.anna@gmail.com</w:t>
            </w:r>
            <w:r w:rsidRPr="002361E2">
              <w:rPr>
                <w:i/>
              </w:rPr>
              <w:br/>
            </w:r>
            <w:bookmarkEnd w:id="1"/>
            <w:r w:rsidR="00C275A3">
              <w:t>matematika-fizika osztatlan tanárszak</w:t>
            </w:r>
            <w:r w:rsidR="00A96AEC">
              <w:br/>
              <w:t>Osztatlan, 9.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SZÖRÉNYI SÁRA</w:t>
            </w:r>
          </w:p>
          <w:p w:rsidR="00C275A3" w:rsidRDefault="00186641" w:rsidP="00C275A3">
            <w:pPr>
              <w:pStyle w:val="Hallgatokepzes"/>
            </w:pPr>
            <w:r w:rsidRPr="002361E2">
              <w:rPr>
                <w:i/>
              </w:rPr>
              <w:t>szorenyi.sara@aquilone.hu</w:t>
            </w:r>
            <w:r w:rsidRPr="002361E2">
              <w:rPr>
                <w:i/>
              </w:rPr>
              <w:br/>
            </w:r>
            <w:r w:rsidR="00A96AEC">
              <w:t>matematika-kémia osztatlan tanárszak</w:t>
            </w:r>
            <w:r w:rsidR="00A96AEC">
              <w:br/>
            </w:r>
            <w:r w:rsidR="00E77B23">
              <w:t>Osztatlan, 9.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Szabó Csaba</w:t>
            </w:r>
          </w:p>
          <w:p w:rsidR="00DB4822" w:rsidRDefault="00DB4822" w:rsidP="009763E0">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Kell-e félnünk a cos-15o-tól? Ha igen, bizonyítsd, ha nem, mutass ellenpéldát!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irracionális számok a matematika minden területén jelen vannak, de pontos értékük nehezen reprezentálható a diákok számára is jól érthető, szemléletes formában. Ebben a munkában olyan geometriai konstrukciókat és számolásokat mutatunk, melyekkel szemléltethetjük az irracionális számokat.</w:t>
      </w:r>
      <w:r>
        <w:rPr>
          <w:color w:val="000000"/>
          <w:sz w:val="24"/>
          <w:szCs w:val="24"/>
        </w:rPr>
        <w:br/>
        <w:t xml:space="preserve">Kutatásunkban olyan számokkal foglalkoztunk, melyek kifejezhetőek legfeljebb két négyzetgyökjellel, és megjelennek a Nemzeti Alaptantervben. Példákat hozunk olyan problémákra a felső tagozatos és középiskolai tananyagból, amikben természetesen jelennek meg ezek a kifejezések. A példákra különböző szintű matematikai tudást igénylő megoldásokat is adunk, az elemi geometriaitól a magasabb algebrai módszerekig.</w:t>
      </w:r>
      <w:r>
        <w:rPr>
          <w:color w:val="000000"/>
          <w:sz w:val="24"/>
          <w:szCs w:val="24"/>
        </w:rPr>
        <w:br/>
        <w:t xml:space="preserve">Amellett, hogy ezeknek a megoldásoknak a bemutatásával a diákok megérthetik a matematika különböző területei közötti szoros kapcsolatot, példákat láthatnak arra is, hogy egy feladat megoldásához nemcsak arról a területről kereshetnek megoldásokat, amiben a probléma megfogalmazódott.</w:t>
      </w:r>
      <w:r>
        <w:rPr>
          <w:color w:val="000000"/>
          <w:sz w:val="24"/>
          <w:szCs w:val="24"/>
        </w:rPr>
        <w:br/>
        <w:t xml:space="preserve">A dolgozat előzménye a „Theoretische und empirische Analysen zum geometrischen Denken” című tanulmánykötetben megjelent „Geometric representations of irrational algebraic numbers in Hungarian high school mathematics education” című szaktanulmány, melyet Vásárhelyi Éva Tanárnő felkérésére írtunk Szabó Csaba egyetemi tanár vezetésével, Bereczky-Zámbó Csillával közösen (Szabó és mtsai, 2021).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93424">
    <w:multiLevelType w:val="hybridMultilevel"/>
    <w:lvl w:ilvl="0" w:tplc="75861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93424">
    <w:abstractNumId w:val="952934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1570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