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FECZKÓ ÁGNES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feczko.agnes1113@gmail.com</w:t>
            </w:r>
            <w:r w:rsidRPr="002361E2">
              <w:rPr>
                <w:i/>
              </w:rPr>
              <w:br/>
            </w:r>
            <w:r w:rsidR="00A96AEC">
              <w:t>matematikatanár, német nyelv és kultúra tanára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PRINS REBECCA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prinsrebecca1@gmail.com</w:t>
            </w:r>
            <w:r w:rsidRPr="002361E2">
              <w:rPr>
                <w:i/>
              </w:rPr>
              <w:br/>
            </w:r>
            <w:bookmarkEnd w:id="1"/>
            <w:r w:rsidR="00C275A3">
              <w:t>matematikatanár, angol nyelv és kultúra tanára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Játékosítás a gyakorlatban – példák a közoktatásból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játékosítás fogalma a 2000-es évek elején kezdett kialakulni és az utóbbi 7-8 évben egyre népszerűbb az oktatásban is. Kutatómunkánk fő feladata az volt, hogy a játékosítás összes lehetséges szempontját figyelembe véve készítsünk el egy olyan leírást, amelyet középiskolai szaktanárok is használhatnak, és a leírás alapján játékosítani tudnak az órán. A dokumentumot másfél éven keresztül készítettük, folyamatosan figyelembe véve az addigi kísérletek tapasztalatait. A dokumentum fő szempontjai az átláthatóság, az érthetőség voltak, és az, hogy maga a játékosítási folyamat ne jelentsen túl nagy plusz feladatot, ne legyen nagy teher a szaktanároknak. A kezdeti kísérleteket végző tanárokkal interjúkat készítettünk, és ezek alapján elkészültek az útmutatóink. Ezt tekintjük a kutatásunk egyik legfőbb eredményének. Megalakulása után az MTA ELTE Matematika Tanuláselméleti és -Pszichológiai Kutatócsoport egyik fő kutatási területe a diákok elkötelezettségének növelése a játékosítás segítségével lett, amely alapjául a mi dokumentumaink szolgálnak. A másik fő kutatási eredményünk, hogy útmutatóink alapján 7 intézmény 17 szaktanára kezdett játékosítási kísérletbe. A dolgozat második részében beszámolunk arról, hogy mi is részt veszünk ezekben a játékosítási kísérletekben. Feladatunk az volt, hogy néhány iskolában mi kövessük figyelemmel a játékosítást, és a tudományos követelményeknek megfelelően irányítsuk azt. Az eredmények azt mutatják, hogy az irányított játékosítás egy hatékony folyamat, a nem irányított játékosítás pedig egy kevésbé hatékony folyamat.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77545">
    <w:multiLevelType w:val="hybridMultilevel"/>
    <w:lvl w:ilvl="0" w:tplc="81342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77545">
    <w:abstractNumId w:val="873775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12299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