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HÓCZA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vacsott@gmail.com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Bókony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ÁTK Növényvédelmi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Okozhat-e ivarváltást kétéltűekben a kémiai szúnyoggyérítés?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ivarváltás, amikor az egyedfejlődés kezdetén a genetikai ivarral ellentétes fenotípusos</w:t>
      </w:r>
      <w:r>
        <w:rPr>
          <w:color w:val="000000"/>
          <w:sz w:val="24"/>
          <w:szCs w:val="24"/>
        </w:rPr>
        <w:br/>
        <w:t xml:space="preserve">ivar alakul ki, vizsgálata ektoterm gerincesek természetes populációiban az utóbbi néhány</w:t>
      </w:r>
      <w:r>
        <w:rPr>
          <w:color w:val="000000"/>
          <w:sz w:val="24"/>
          <w:szCs w:val="24"/>
        </w:rPr>
        <w:br/>
        <w:t xml:space="preserve">évben kezdett fellendülni. Többféle környezeti hatás okozhat ivarváltást, köztük endokrin</w:t>
      </w:r>
      <w:r>
        <w:rPr>
          <w:color w:val="000000"/>
          <w:sz w:val="24"/>
          <w:szCs w:val="24"/>
        </w:rPr>
        <w:br/>
        <w:t xml:space="preserve">diszruptor kemikáliák is. Ilyen endokrin diszruptorok lehetnek a kémiai szúnyoggyérítésben</w:t>
      </w:r>
      <w:r>
        <w:rPr>
          <w:color w:val="000000"/>
          <w:sz w:val="24"/>
          <w:szCs w:val="24"/>
        </w:rPr>
        <w:br/>
        <w:t xml:space="preserve">használt rovarirtószerek, melyek különösen a vizes élőhelyek állatvilágát károsíthatják. Két</w:t>
      </w:r>
      <w:r>
        <w:rPr>
          <w:color w:val="000000"/>
          <w:sz w:val="24"/>
          <w:szCs w:val="24"/>
        </w:rPr>
        <w:br/>
        <w:t xml:space="preserve">manapság elterjedten használt szintetikus piretroid alapú rovarirtószer, a deltametrin és az</w:t>
      </w:r>
      <w:r>
        <w:rPr>
          <w:color w:val="000000"/>
          <w:sz w:val="24"/>
          <w:szCs w:val="24"/>
        </w:rPr>
        <w:br/>
        <w:t xml:space="preserve">etofenprox korábbi kutatások eredménye alapján élettani és viselkedésbeli elváltozásokat</w:t>
      </w:r>
      <w:r>
        <w:rPr>
          <w:color w:val="000000"/>
          <w:sz w:val="24"/>
          <w:szCs w:val="24"/>
        </w:rPr>
        <w:br/>
        <w:t xml:space="preserve">okozhat vízi állatokban, azonban egyetlen tanulmány sem vizsgálta még, hogy befolyásolják-e az ivari fejlődést kétéltűekben. A kutatásom célja e két piretroid környezetileg releváns</w:t>
      </w:r>
      <w:r>
        <w:rPr>
          <w:color w:val="000000"/>
          <w:sz w:val="24"/>
          <w:szCs w:val="24"/>
        </w:rPr>
        <w:br/>
        <w:t xml:space="preserve">koncentrációinak hatásait felmérni az ivararányra és az ivarfüggő mortalitásra erdei békáknál</w:t>
      </w:r>
      <w:r>
        <w:rPr>
          <w:color w:val="000000"/>
          <w:sz w:val="24"/>
          <w:szCs w:val="24"/>
        </w:rPr>
        <w:br/>
        <w:t xml:space="preserve">(Rana dalmatina). Terepen gyűjtött petékből nevelt ebihalakat mezokozmoszban neveltünk</w:t>
      </w:r>
      <w:r>
        <w:rPr>
          <w:color w:val="000000"/>
          <w:sz w:val="24"/>
          <w:szCs w:val="24"/>
        </w:rPr>
        <w:br/>
        <w:t xml:space="preserve">fel úgy, hogy a vízbe 0.03 vagy 0.3 μg /l deltametrint vagy etofenproxot adagoltunk kétszer,</w:t>
      </w:r>
      <w:r>
        <w:rPr>
          <w:color w:val="000000"/>
          <w:sz w:val="24"/>
          <w:szCs w:val="24"/>
        </w:rPr>
        <w:br/>
        <w:t xml:space="preserve">majd az átalakult állatok ivarát boncolással állapítottuk meg. Az eredményeink alapján</w:t>
      </w:r>
      <w:r>
        <w:rPr>
          <w:color w:val="000000"/>
          <w:sz w:val="24"/>
          <w:szCs w:val="24"/>
        </w:rPr>
        <w:br/>
        <w:t xml:space="preserve">lehetséges, hogy az alacsony koncentrációjú etofenprox kezelés növeli a nőstények</w:t>
      </w:r>
      <w:r>
        <w:rPr>
          <w:color w:val="000000"/>
          <w:sz w:val="24"/>
          <w:szCs w:val="24"/>
        </w:rPr>
        <w:br/>
        <w:t xml:space="preserve">mortalitását és/vagy ivarváltást (maszkulinizációt) okoz. Ennek pontos kiderítésére a</w:t>
      </w:r>
      <w:r>
        <w:rPr>
          <w:color w:val="000000"/>
          <w:sz w:val="24"/>
          <w:szCs w:val="24"/>
        </w:rPr>
        <w:br/>
        <w:t xml:space="preserve">kísérleti állatok genetikai ivarának vizsgálatára lesz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53957">
    <w:multiLevelType w:val="hybridMultilevel"/>
    <w:lvl w:ilvl="0" w:tplc="65160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53957">
    <w:abstractNumId w:val="50753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440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