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BORA ZSÓFIA</w:t>
            </w:r>
          </w:p>
          <w:p w:rsidR="00C275A3" w:rsidRDefault="00186641" w:rsidP="00C275A3">
            <w:pPr>
              <w:pStyle w:val="Hallgatokepzes"/>
            </w:pPr>
            <w:r w:rsidRPr="002361E2">
              <w:rPr>
                <w:i/>
              </w:rPr>
              <w:t>bora.zsfia2@gmail.com</w:t>
            </w:r>
            <w:r w:rsidRPr="002361E2">
              <w:rPr>
                <w:i/>
              </w:rPr>
              <w:br/>
            </w:r>
            <w:r w:rsidR="00A96AEC">
              <w:t>Csillagászat</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Vinkó József</w:t>
            </w:r>
          </w:p>
          <w:p w:rsidR="00DB4822" w:rsidRDefault="00DB4822" w:rsidP="009763E0">
            <w:pPr>
              <w:pStyle w:val="Konzulensektitulus"/>
            </w:pPr>
            <w:r w:rsidRPr="00DB4822">
              <w:t>tudományos tanácsadó,  ELKH CSFK KTM Csillagászati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Távolságmérés Ia típusú szupernóvákkal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Tudományos Diákköri Dolgozatom célja 18 db, a Piszkéstetői Obszervatóriumban megfigyelt Ia típusú szupernóva fotometriai analízise, és távolságmeghatározása volt fénygörbe-illesztő modellek használatával.</w:t>
      </w:r>
      <w:r>
        <w:rPr>
          <w:color w:val="000000"/>
          <w:sz w:val="24"/>
          <w:szCs w:val="24"/>
        </w:rPr>
        <w:br/>
        <w:t xml:space="preserve">A szupernóvák végállapotú csillagok nagyenergiás robbanásai, melyek igen fényesek, így nagy távolságokról is megfigyelhetőek. Dolgozatomban először is bemutattam ezen objektumok megfigyelésének történelmét, és osztályozásuk lényegét. Ezután részleteztem az Ia típusú szupernóvák (SNIa-k) eredetét, robbanási mechanizmusait, és megfigyelhető tulajdonságaikat. Az Ia típusú szupernóvák egyik legismertebb tulajdonsága, hogy standardizálható gyertyákként fontos szerepet játszanak a csillagászati távolságmérésben. Erre a célra munkám során 2 féle fénygörbe-illesztő módszert alkalmaztam: a SALT3 modellt, amely szintetikus spektrumok készítésére alapozza illesztését, valamint az MLCS2k2 kódot, amely a több színszűrőre is kiterjesztett Phillips-relációt alkalmazza.</w:t>
      </w:r>
      <w:r>
        <w:rPr>
          <w:color w:val="000000"/>
          <w:sz w:val="24"/>
          <w:szCs w:val="24"/>
        </w:rPr>
        <w:br/>
        <w:t xml:space="preserve">A munkám során vizsgált SNIa-k megfigyelését a Piszkéstetői Obszervatóriumban végezték el 2019 és 2021 között egy 80 cm-es tükörátmérőjű Ritchey-Crétien távcsővel, ezek egy részében én is részt vettem. Az észlelt szupernóvákon képlevonásos apertúra fotometriát végeztünk el, ebben részt vett témavezetőm és konzulensem is, majd az észlelt magnitúdók standard fotometriai rendszerbe transzformálását saját kóddal számoltam.</w:t>
      </w:r>
      <w:r>
        <w:rPr>
          <w:color w:val="000000"/>
          <w:sz w:val="24"/>
          <w:szCs w:val="24"/>
        </w:rPr>
        <w:br/>
        <w:t xml:space="preserve">A fotometriából megkapott többszínszűrős fénygörbék illesztését ezután elvégeztem az előbb említett két modellel, és az így általam meghatározott távolságokat összehasonlítottam a szakirodalomban elérhető adatokkal.</w:t>
      </w:r>
      <w:r>
        <w:rPr>
          <w:color w:val="000000"/>
          <w:sz w:val="24"/>
          <w:szCs w:val="24"/>
        </w:rPr>
        <w:br/>
        <w:t xml:space="preserve">Vizsgált szupernóváim gazdagalaxisai közül 2 esetben határoztak meg korábban Ia típusú szupernóvával távolságot, valamint további általam vizsgált 4 objektumra már a szakirodalomban is elérhető távolságmeghatározás, így a mintám maradék 13 tagjára ezt elsőként tehettem meg. A kapott távolságokat a Hubble-diagram reprodukálásával ellenőriztem, és megállapítottam, hogy mind a SALT3 és az MLCS2k2 módszer is alacsonyabb Hubble-állandó értéket ad a legfrissebb, Ia szupernóvákat a távolságlétra részeként használó mérésekhez képest. Ennek oka az, hogy kevés objektumot vizsgáltam, s azok kis vöröseltolódásokon helyezkedtek el, így pekuliáris sebességeik erősen hozzájárulnak a mért vöröseltolódás értékéhez.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34641">
    <w:multiLevelType w:val="hybridMultilevel"/>
    <w:lvl w:ilvl="0" w:tplc="95828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34641">
    <w:abstractNumId w:val="27334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302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