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CZENDER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viktoria.czender@gmail.com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KAROLINA EDIT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karolhorv@gmail.com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 szekvenciatanulás obszesszív-kompulzív zavarban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obszesszív-kompulzív zavar (továbbiakban: OCD) és az implicit szekvenciatanulás közös</w:t>
      </w:r>
      <w:r>
        <w:rPr>
          <w:color w:val="000000"/>
          <w:sz w:val="24"/>
          <w:szCs w:val="24"/>
        </w:rPr>
        <w:br/>
        <w:t xml:space="preserve">neurális háttérmechanizmusokkal rendelkezik, ezért különösen fontos ezen jelenségek</w:t>
      </w:r>
      <w:r>
        <w:rPr>
          <w:color w:val="000000"/>
          <w:sz w:val="24"/>
          <w:szCs w:val="24"/>
        </w:rPr>
        <w:br/>
        <w:t xml:space="preserve">kapcsolatának vizsgálata. Ezen tanulmány az ennek a két jelenségnek kapcsolatát hivatott</w:t>
      </w:r>
      <w:r>
        <w:rPr>
          <w:color w:val="000000"/>
          <w:sz w:val="24"/>
          <w:szCs w:val="24"/>
        </w:rPr>
        <w:br/>
        <w:t xml:space="preserve">megvizsgálni. A korábban ebben a témakörben végzett kutatások ellentmondásos</w:t>
      </w:r>
      <w:r>
        <w:rPr>
          <w:color w:val="000000"/>
          <w:sz w:val="24"/>
          <w:szCs w:val="24"/>
        </w:rPr>
        <w:br/>
        <w:t xml:space="preserve">eredményekre jutottak az OCD-vel diagnosztizált egyének implicit tanulását illetően.</w:t>
      </w:r>
      <w:r>
        <w:rPr>
          <w:color w:val="000000"/>
          <w:sz w:val="24"/>
          <w:szCs w:val="24"/>
        </w:rPr>
        <w:br/>
        <w:t xml:space="preserve">Dolgozatunk fő kérdése így az volt, hogy az implicit szekvenciatanulás ép vagy csökkent</w:t>
      </w:r>
      <w:r>
        <w:rPr>
          <w:color w:val="000000"/>
          <w:sz w:val="24"/>
          <w:szCs w:val="24"/>
        </w:rPr>
        <w:br/>
        <w:t xml:space="preserve">teljesítményt mutat-e az OCD tünetsúlyosságától függően? Az áttekintett szakirodalom</w:t>
      </w:r>
      <w:r>
        <w:rPr>
          <w:color w:val="000000"/>
          <w:sz w:val="24"/>
          <w:szCs w:val="24"/>
        </w:rPr>
        <w:br/>
        <w:t xml:space="preserve">eredményeit és módszertani kritikáit figyelembe véve azt feltételeztük, hogy az alacsonyabb és</w:t>
      </w:r>
      <w:r>
        <w:rPr>
          <w:color w:val="000000"/>
          <w:sz w:val="24"/>
          <w:szCs w:val="24"/>
        </w:rPr>
        <w:br/>
        <w:t xml:space="preserve">a magasabb tünetsúlyosságot mutató csoportok között nem lesz szignifikáns különbség az</w:t>
      </w:r>
      <w:r>
        <w:rPr>
          <w:color w:val="000000"/>
          <w:sz w:val="24"/>
          <w:szCs w:val="24"/>
        </w:rPr>
        <w:br/>
        <w:t xml:space="preserve">implicit tanulási teljesítményben. A kutatási tradíciótól eltérő módon fontos volt számunkra a</w:t>
      </w:r>
      <w:r>
        <w:rPr>
          <w:color w:val="000000"/>
          <w:sz w:val="24"/>
          <w:szCs w:val="24"/>
        </w:rPr>
        <w:br/>
        <w:t xml:space="preserve">spektrumszemlélet szem előtt tartása. Így ennek keretein belül egy nem klinikai minta OCD</w:t>
      </w:r>
      <w:r>
        <w:rPr>
          <w:color w:val="000000"/>
          <w:sz w:val="24"/>
          <w:szCs w:val="24"/>
        </w:rPr>
        <w:br/>
        <w:t xml:space="preserve">tüneteinek felmérését végeztük, az implicit tanulásban nyújtott teljesítményüket pedig a teszt</w:t>
      </w:r>
      <w:r>
        <w:rPr>
          <w:color w:val="000000"/>
          <w:sz w:val="24"/>
          <w:szCs w:val="24"/>
        </w:rPr>
        <w:br/>
        <w:t xml:space="preserve">alapján létrehozott csoportok mentén vizsgáltuk. Kutatásunk során összesen 180 fő adatait</w:t>
      </w:r>
      <w:r>
        <w:rPr>
          <w:color w:val="000000"/>
          <w:sz w:val="24"/>
          <w:szCs w:val="24"/>
        </w:rPr>
        <w:br/>
        <w:t xml:space="preserve">dolgoztuk fel, ezek elemzése után pedig a következő megállapításokra jutottunk: az implicit</w:t>
      </w:r>
      <w:r>
        <w:rPr>
          <w:color w:val="000000"/>
          <w:sz w:val="24"/>
          <w:szCs w:val="24"/>
        </w:rPr>
        <w:br/>
        <w:t xml:space="preserve">szekvenciatanulást mérő feladatban a magas tünetsúlyosságú csoport tanulási teljesítménye</w:t>
      </w:r>
      <w:r>
        <w:rPr>
          <w:color w:val="000000"/>
          <w:sz w:val="24"/>
          <w:szCs w:val="24"/>
        </w:rPr>
        <w:br/>
        <w:t xml:space="preserve">nem tért el szignifikiánsan az alacsony tünetsúlyosságú csoporttól. A mintán végzett</w:t>
      </w:r>
      <w:r>
        <w:rPr>
          <w:color w:val="000000"/>
          <w:sz w:val="24"/>
          <w:szCs w:val="24"/>
        </w:rPr>
        <w:br/>
        <w:t xml:space="preserve">differenciáltabb korrelációs elemzés alapján sem találtunk összefüggést a tanulás mértéke és a</w:t>
      </w:r>
      <w:r>
        <w:rPr>
          <w:color w:val="000000"/>
          <w:sz w:val="24"/>
          <w:szCs w:val="24"/>
        </w:rPr>
        <w:br/>
        <w:t xml:space="preserve">tünetsúlyosság vagy az OCD alfaktorai között, a semlegesítés kivételével. Jelen kutatás</w:t>
      </w:r>
      <w:r>
        <w:rPr>
          <w:color w:val="000000"/>
          <w:sz w:val="24"/>
          <w:szCs w:val="24"/>
        </w:rPr>
        <w:br/>
        <w:t xml:space="preserve">eredményei alapján úgy tűnik, hogy az OCD tünetek idegrendszeri háttere bár érinti az agy</w:t>
      </w:r>
      <w:r>
        <w:rPr>
          <w:color w:val="000000"/>
          <w:sz w:val="24"/>
          <w:szCs w:val="24"/>
        </w:rPr>
        <w:br/>
        <w:t xml:space="preserve">fronto-striatális területeit, azonban azt a specifikus rendszert, amely az implicit</w:t>
      </w:r>
      <w:r>
        <w:rPr>
          <w:color w:val="000000"/>
          <w:sz w:val="24"/>
          <w:szCs w:val="24"/>
        </w:rPr>
        <w:br/>
        <w:t xml:space="preserve">szekvenciatanulásért felelős nem befolyásolja.</w:t>
      </w:r>
      <w:r>
        <w:rPr>
          <w:color w:val="000000"/>
          <w:sz w:val="24"/>
          <w:szCs w:val="24"/>
        </w:rPr>
        <w:br/>
        <w:t xml:space="preserve">Kulcsszavak: implicit tanulás, probabilisztikus tanulás, obszesszív-kompulzív zavar (OCD)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88480">
    <w:multiLevelType w:val="hybridMultilevel"/>
    <w:lvl w:ilvl="0" w:tplc="25722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88480">
    <w:abstractNumId w:val="29988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123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