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RIGMÁNYI ZSOMBOR</w:t>
            </w:r>
          </w:p>
          <w:p w:rsidR="00C275A3" w:rsidRDefault="00186641" w:rsidP="00C275A3">
            <w:pPr>
              <w:pStyle w:val="Hallgatokepzes"/>
            </w:pPr>
            <w:r w:rsidRPr="002361E2">
              <w:rPr>
                <w:i/>
              </w:rPr>
              <w:t>rigmanyi.zsombor@student.ms.sapientia.ro</w:t>
            </w:r>
            <w:r w:rsidRPr="002361E2">
              <w:rPr>
                <w:i/>
              </w:rPr>
              <w:br/>
            </w:r>
            <w:r w:rsidR="00A96AEC">
              <w:t>Számítástechnika</w:t>
            </w:r>
            <w:r w:rsidR="00A96AEC">
              <w:br/>
            </w:r>
            <w:r w:rsidR="00E77B23">
              <w:t>MSc, 4. félév</w:t>
            </w:r>
          </w:p>
          <w:p w:rsidR="00C265CE" w:rsidRPr="009E5FF1" w:rsidRDefault="00E77B23" w:rsidP="009763E0">
            <w:pPr>
              <w:pStyle w:val="Hallgatointezmeny-kar"/>
              <w:rPr>
                <w:b/>
                <w:caps/>
              </w:rPr>
            </w:pPr>
            <w:r>
              <w:t>Sapientia Erdélyi Magyar Tudományegyetem</w:t>
            </w:r>
            <w:r w:rsidR="00C275A3">
              <w:br/>
            </w:r>
            <w:r w:rsidR="00DB4822">
              <w:t>Marosvásárhelyi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Iclanzan David</w:t>
            </w:r>
          </w:p>
          <w:p w:rsidR="00DB4822" w:rsidRDefault="00DB4822" w:rsidP="009763E0">
            <w:pPr>
              <w:pStyle w:val="Konzulensektitulus"/>
            </w:pPr>
            <w:r w:rsidRPr="00DB4822">
              <w:t>egy. docens, RO EMTE MVK</w:t>
            </w:r>
          </w:p>
        </w:tc>
      </w:tr>
      <w:tr w:rsidR="00DB4822" w:rsidTr="00DB4822">
        <w:tc>
          <w:tcPr>
            <w:tcW w:w="9854" w:type="dxa"/>
          </w:tcPr>
          <w:p w:rsidR="00DB4822" w:rsidRPr="00DB4822" w:rsidRDefault="00DB4822" w:rsidP="009763E0">
            <w:pPr>
              <w:pStyle w:val="Konzulenseknev"/>
            </w:pPr>
            <w:r w:rsidRPr="00DB4822">
              <w:t>dr. Kovács Zsolt</w:t>
            </w:r>
          </w:p>
          <w:p w:rsidR="00DB4822" w:rsidRDefault="00DB4822" w:rsidP="009763E0">
            <w:pPr>
              <w:pStyle w:val="Konzulensektitulus"/>
            </w:pPr>
            <w:r w:rsidRPr="00DB4822">
              <w:t>orvos-genetikus,  Marosmegyei Sürgősségi Kórház Patológiai részleg</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Vastagbéldaganatok immunohisztokémiai reakciónak optimális skálázása megfelelő osztályozás elérése érdekében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rosszindulatú daganatok sejtjeinek egyedülálló és alapvető tulajdonsága az új szövetekbe való behatolás és metasztatizáló képessége. Ahhoz, hogy megfelelően tudjuk értékelni a daganatok terjedését, főképp az inváziós frontban, ahol a legaktívabb a daganatos sejtek tevékenysége, speciális immunhisztokémiai markerrel jelölik a daganatos buddingot vagy „tumor rügyeket” (TB). Ezek közül a legelterjedtebb a maspin, viszont más eljárások is léteznek. Az orvostudomány e területének egyik legnagyobb kihívása ezen sejtcsoportok megfelelő kvantifikálása, a lehető legobjektívebb módon. Ehhez nagy segítséget nyújthat egy gépi tanulás segítségével megvalósított automatikus, pontos és nagy precizitással bejelölt vizsgálat, ami lehetővé teszi az orvosok számára a TB pontos értékelését. Az utóbbi pár évben számos, főleg mélytanulásra épített megoldás született a TB detektálására. Saját próbálkozásunk pontossága 75%, amit próbáltunk javítani a képek újra skálázásával, a jobb tanítási minták generálása érdekében.</w:t>
      </w:r>
      <w:r>
        <w:rPr>
          <w:color w:val="000000"/>
          <w:sz w:val="24"/>
          <w:szCs w:val="24"/>
        </w:rPr>
        <w:br/>
        <w:t xml:space="preserve">Kutatásomban magasabb, 40x optikai nagyitással készült, több részletet tartalmazó, szkennelt képeket dolgozok fel, melyeket skálázni kell az osztályozók betanításához szükséges képek generálása előtt. Mivel kevés ilyen saját adat áll még rendelkezésre, az osztályozok pontosságát „transfer learning” segítségével javítom, ahol korábbi tanulmányok, sok adaton betanított neurális hálók súlyait és rétegeit újra felhasználom.</w:t>
      </w:r>
      <w:r>
        <w:rPr>
          <w:color w:val="000000"/>
          <w:sz w:val="24"/>
          <w:szCs w:val="24"/>
        </w:rPr>
        <w:br/>
        <w:t xml:space="preserve">Kulcsszavak: tumor budding, gépi tanulás, transfer learning, osztályozók, neurális hálók;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733470">
    <w:multiLevelType w:val="hybridMultilevel"/>
    <w:lvl w:ilvl="0" w:tplc="591958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733470">
    <w:abstractNumId w:val="657334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87295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