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MACULA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macula.gergo1999@gmail.com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Sárközy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Marah Freiwan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Doxorubicin kiváltotta krónikus kardiotoxicitás mérséklése mirabegron alkalmazásával patkány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doxorubicin egy kemoterápiás szer, amelynek klinikai</w:t>
      </w:r>
      <w:r>
        <w:rPr>
          <w:color w:val="000000"/>
          <w:sz w:val="24"/>
          <w:szCs w:val="24"/>
        </w:rPr>
        <w:br/>
        <w:t xml:space="preserve">használatát a krónikus kardiotoxicitás, illetve szívelégtelenség kifejlődése</w:t>
      </w:r>
      <w:r>
        <w:rPr>
          <w:color w:val="000000"/>
          <w:sz w:val="24"/>
          <w:szCs w:val="24"/>
        </w:rPr>
        <w:br/>
        <w:t xml:space="preserve">korlátozhatja. A mirabegron egy szelektív béta-3-receptor agonista,</w:t>
      </w:r>
      <w:r>
        <w:rPr>
          <w:color w:val="000000"/>
          <w:sz w:val="24"/>
          <w:szCs w:val="24"/>
        </w:rPr>
        <w:br/>
        <w:t xml:space="preserve">amelynek leírták a kardiális átépülést gátló hatását magas vérnyomás talaján</w:t>
      </w:r>
      <w:r>
        <w:rPr>
          <w:color w:val="000000"/>
          <w:sz w:val="24"/>
          <w:szCs w:val="24"/>
        </w:rPr>
        <w:br/>
        <w:t xml:space="preserve">kialakult szívelégtelenségben. Ezért jelen projektünkben megvizsgáltuk a</w:t>
      </w:r>
      <w:r>
        <w:rPr>
          <w:color w:val="000000"/>
          <w:sz w:val="24"/>
          <w:szCs w:val="24"/>
        </w:rPr>
        <w:br/>
        <w:t xml:space="preserve">mirabegron lehetséges védő hatását doxorubicin kiváltotta krónikus</w:t>
      </w:r>
      <w:r>
        <w:rPr>
          <w:color w:val="000000"/>
          <w:sz w:val="24"/>
          <w:szCs w:val="24"/>
        </w:rPr>
        <w:br/>
        <w:t xml:space="preserve">kardiotoxicitásban.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Wistar patkányokat (300-350 g) 3 csoportra osztottunk,</w:t>
      </w:r>
      <w:r>
        <w:rPr>
          <w:color w:val="000000"/>
          <w:sz w:val="24"/>
          <w:szCs w:val="24"/>
        </w:rPr>
        <w:br/>
        <w:t xml:space="preserve">melyeket 11 hétig követtünk nyomon. 1) Fiziológiás sóoldattal (ip. 2 héten át</w:t>
      </w:r>
      <w:r>
        <w:rPr>
          <w:color w:val="000000"/>
          <w:sz w:val="24"/>
          <w:szCs w:val="24"/>
        </w:rPr>
        <w:br/>
        <w:t xml:space="preserve">6 alkalommal 1 ml/ttkg) és az 5. követési héttől csapvízzel kezelt (per os</w:t>
      </w:r>
      <w:r>
        <w:rPr>
          <w:color w:val="000000"/>
          <w:sz w:val="24"/>
          <w:szCs w:val="24"/>
        </w:rPr>
        <w:br/>
        <w:t xml:space="preserve">gavage 2 ml/ttkg/nap) kontroll, 2) doxorubicinnel (ip. 6x1,5 mg/ttkg) és az 5.</w:t>
      </w:r>
      <w:r>
        <w:rPr>
          <w:color w:val="000000"/>
          <w:sz w:val="24"/>
          <w:szCs w:val="24"/>
        </w:rPr>
        <w:br/>
        <w:t xml:space="preserve">követési héttől csapvízzel kezelt (per os gavage 2 ml/ttkg/nap), illetve 3)</w:t>
      </w:r>
      <w:r>
        <w:rPr>
          <w:color w:val="000000"/>
          <w:sz w:val="24"/>
          <w:szCs w:val="24"/>
        </w:rPr>
        <w:br/>
        <w:t xml:space="preserve">doxorubicinnel (ip. 6x1,5 mg/ttkg) és az 5. követési héttől mirabegronnal (per</w:t>
      </w:r>
      <w:r>
        <w:rPr>
          <w:color w:val="000000"/>
          <w:sz w:val="24"/>
          <w:szCs w:val="24"/>
        </w:rPr>
        <w:br/>
        <w:t xml:space="preserve">os gavage 30 mg/ttkg/nap) kezelt csoport. A 11. héten echokardiográfiás, ill.</w:t>
      </w:r>
      <w:r>
        <w:rPr>
          <w:color w:val="000000"/>
          <w:sz w:val="24"/>
          <w:szCs w:val="24"/>
        </w:rPr>
        <w:br/>
        <w:t xml:space="preserve">szövettani vizsgálatokat végeztünk, valamint qRT-PCR és Western blot</w:t>
      </w:r>
      <w:r>
        <w:rPr>
          <w:color w:val="000000"/>
          <w:sz w:val="24"/>
          <w:szCs w:val="24"/>
        </w:rPr>
        <w:br/>
        <w:t xml:space="preserve">segítségével gyulladásos és fibrózis markereket vizsgáltunk bal kamrai</w:t>
      </w:r>
      <w:r>
        <w:rPr>
          <w:color w:val="000000"/>
          <w:sz w:val="24"/>
          <w:szCs w:val="24"/>
        </w:rPr>
        <w:br/>
        <w:t xml:space="preserve">mintákban.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echokardiográfiás ill. szövettani vizsgálatok szisztolés</w:t>
      </w:r>
      <w:r>
        <w:rPr>
          <w:color w:val="000000"/>
          <w:sz w:val="24"/>
          <w:szCs w:val="24"/>
        </w:rPr>
        <w:br/>
        <w:t xml:space="preserve">diszfunkciót, a bal kamrafal elvékonyodását, szöveti gyulladást és fibrózist</w:t>
      </w:r>
      <w:r>
        <w:rPr>
          <w:color w:val="000000"/>
          <w:sz w:val="24"/>
          <w:szCs w:val="24"/>
        </w:rPr>
        <w:br/>
        <w:t xml:space="preserve">igazoltak a doxorubicin kezelés hatására, amely elvátozások kifejlődését</w:t>
      </w:r>
      <w:r>
        <w:rPr>
          <w:color w:val="000000"/>
          <w:sz w:val="24"/>
          <w:szCs w:val="24"/>
        </w:rPr>
        <w:br/>
        <w:t xml:space="preserve">szignifikánsan mérsékelte a mirabegron. A doxorubicin kezelés hatására a</w:t>
      </w:r>
      <w:r>
        <w:rPr>
          <w:color w:val="000000"/>
          <w:sz w:val="24"/>
          <w:szCs w:val="24"/>
        </w:rPr>
        <w:br/>
        <w:t xml:space="preserve">kontrollhoz képest a transzformáló növekedési faktor-ß receptor (TGF-ßR)</w:t>
      </w:r>
      <w:r>
        <w:rPr>
          <w:color w:val="000000"/>
          <w:sz w:val="24"/>
          <w:szCs w:val="24"/>
        </w:rPr>
        <w:br/>
        <w:t xml:space="preserve">fehérje mennyisége ill. a leszálló jelátvivő molekuláinak, a Smad2-nek</w:t>
      </w:r>
      <w:r>
        <w:rPr>
          <w:color w:val="000000"/>
          <w:sz w:val="24"/>
          <w:szCs w:val="24"/>
        </w:rPr>
        <w:br/>
        <w:t xml:space="preserve">(1,25±0,28 vs. 0,67±0,08, p&lt;0,05) ill. Smad3-nak (1,61±0,26 vs. 0,71±0,15,</w:t>
      </w:r>
      <w:r>
        <w:rPr>
          <w:color w:val="000000"/>
          <w:sz w:val="24"/>
          <w:szCs w:val="24"/>
        </w:rPr>
        <w:br/>
        <w:t xml:space="preserve">p&lt;0,05) a relatív génexpressziója szignifikánsan megemelkedett, amelyeket</w:t>
      </w:r>
      <w:r>
        <w:rPr>
          <w:color w:val="000000"/>
          <w:sz w:val="24"/>
          <w:szCs w:val="24"/>
        </w:rPr>
        <w:br/>
        <w:t xml:space="preserve">a mirabegron jelentősen mérsékelt (0,50±0,16 ill. 0,82±0,10, 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Doxorubicin hatására krónikus kardiotoxicitás fejlődött ki,</w:t>
      </w:r>
      <w:r>
        <w:rPr>
          <w:color w:val="000000"/>
          <w:sz w:val="24"/>
          <w:szCs w:val="24"/>
        </w:rPr>
        <w:br/>
        <w:t xml:space="preserve">amelyet a mirabegron jelentősen mérsékelt szöveti gyulladásgátló</w:t>
      </w:r>
      <w:r>
        <w:rPr>
          <w:color w:val="000000"/>
          <w:sz w:val="24"/>
          <w:szCs w:val="24"/>
        </w:rPr>
        <w:br/>
        <w:t xml:space="preserve">hatásokon, ill. a TGF-ß/SMAD jelút gátlásán keresztül. Így a mirabegron</w:t>
      </w:r>
      <w:r>
        <w:rPr>
          <w:color w:val="000000"/>
          <w:sz w:val="24"/>
          <w:szCs w:val="24"/>
        </w:rPr>
        <w:br/>
        <w:t xml:space="preserve">ígéretes szer lehet a doxorubicin indukálta kardiotoxicitás mérséklésére.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</w:t>
      </w:r>
      <w:r>
        <w:rPr>
          <w:color w:val="000000"/>
          <w:sz w:val="24"/>
          <w:szCs w:val="24"/>
        </w:rPr>
        <w:br/>
        <w:t xml:space="preserve">GINOP-2.3.2-15-2016-00040</w:t>
      </w:r>
      <w:r>
        <w:rPr>
          <w:color w:val="000000"/>
          <w:sz w:val="24"/>
          <w:szCs w:val="24"/>
        </w:rPr>
        <w:br/>
        <w:t xml:space="preserve">NKFIH FK129094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41394">
    <w:multiLevelType w:val="hybridMultilevel"/>
    <w:lvl w:ilvl="0" w:tplc="56789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41394">
    <w:abstractNumId w:val="739413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250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