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CZAKÓ BÁLINT LÁSZLÓ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czakobalint61522@gmail.com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GULÁCSI LEVENTE FRIGYES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gulacsilevente@gmail.com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5.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Szent-Györgyi Albert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Juhász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Poles Marietta Zita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Kinurénsav és szintetikus analógjai csökkentik a szepszis-indukálta neutrofil aktivációt és agyi mitokondriális diszfunkciót patkányban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Infekcióra adott válaszreakció során a neutrofil granulociták aktiválódnak és neutrofil extracelluláris csapdákat (NET) képeznek, amelyek hozzájárulhatnak a szepszishez társuló központi idegrendszeri (KIR) károsodáshoz. A kinurénsav (KYNA) pleiotróp sejt- és mitokondriumvédő hatását májban gyulladásos körülmények között korábban kimutattuk. Jelen munkánkban a KYNA és szintetikus analógjainak (SZR-72, SZR-104) hatását vizsgáltuk a neutrofil aktivációra/NET képződésre, valamint az agyi mitokondriális funkció változására intraabdominális szepszisben.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Hím Sprague-Dawley patkányokat (n=8-10/csoport) feces-kiváltotta peritonitisznek (0,6 g/kg ip.), vagy álműtétnek vetettük alá. A szeptikus állatok fiziológiás sóoldatot vagy KYNA, SZR-72, illetve SZR-104 kezelést kaptak az indukciót követő 16. és 22. órában (ip; 80-80 µmol/kg). A kísérlet 24. órájában invazív monitorozással, vér- és szövetmintavétellel szervkárosodást határoztunk meg patkány-specifikus pontrendszer (rat-specific organ failure assessment; ROFA) alapján. A neutrofil aktivációt/NET képződést a plazma és agyi mieloperoxidáz (MPO), illetve plazma citrullinált hiszton H3 (CitH3) szintek detektálásával vizsgáltuk. A mitokondriális oxigénfogyasztást (OXPHOS) nagyfelbontású respirometriával (Oroboros O2k) mértük a cerebellumban és hippocampusban.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szeptikus állatokban a ROFA értékek, az MPO és CitH3 plazma szintek jelentősen emelkedtek a kontrollhoz képest (M</w:t>
      </w:r>
      <w:r>
        <w:rPr>
          <w:color w:val="000000"/>
          <w:position w:val="-4"/>
          <w:sz w:val="21"/>
          <w:szCs w:val="21"/>
          <w:vertAlign w:val="subscript"/>
        </w:rPr>
        <w:t xml:space="preserve">ROFA</w:t>
      </w:r>
      <w:r>
        <w:rPr>
          <w:color w:val="000000"/>
          <w:sz w:val="24"/>
          <w:szCs w:val="24"/>
        </w:rPr>
        <w:t xml:space="preserve">/p25/p75: 6,0/4,0/8,0 vs. 2,0/0/2,0; M</w:t>
      </w:r>
      <w:r>
        <w:rPr>
          <w:color w:val="000000"/>
          <w:position w:val="-4"/>
          <w:sz w:val="21"/>
          <w:szCs w:val="21"/>
          <w:vertAlign w:val="subscript"/>
        </w:rPr>
        <w:t xml:space="preserve">MPO</w:t>
      </w:r>
      <w:r>
        <w:rPr>
          <w:color w:val="000000"/>
          <w:sz w:val="24"/>
          <w:szCs w:val="24"/>
        </w:rPr>
        <w:t xml:space="preserve">/p25/p75: 1120/950/1480 vs. 605/564/645 mU/mg fehérje; M</w:t>
      </w:r>
      <w:r>
        <w:rPr>
          <w:color w:val="000000"/>
          <w:position w:val="-4"/>
          <w:sz w:val="21"/>
          <w:szCs w:val="21"/>
          <w:vertAlign w:val="subscript"/>
        </w:rPr>
        <w:t xml:space="preserve">CitH3</w:t>
      </w:r>
      <w:r>
        <w:rPr>
          <w:color w:val="000000"/>
          <w:sz w:val="24"/>
          <w:szCs w:val="24"/>
        </w:rPr>
        <w:t xml:space="preserve">/p25/p75: 7,1/5,8/11,2 vs. 3,6/2,7/5,4 ng/mL). Mindhárom kezelés csökkentette az MPO (KYNA</w:t>
      </w:r>
      <w:r>
        <w:rPr>
          <w:color w:val="000000"/>
          <w:position w:val="-4"/>
          <w:sz w:val="21"/>
          <w:szCs w:val="21"/>
          <w:vertAlign w:val="subscript"/>
        </w:rPr>
        <w:t xml:space="preserve">MPO</w:t>
      </w:r>
      <w:r>
        <w:rPr>
          <w:color w:val="000000"/>
          <w:sz w:val="24"/>
          <w:szCs w:val="24"/>
        </w:rPr>
        <w:t xml:space="preserve"> 26,6%; SZR-72</w:t>
      </w:r>
      <w:r>
        <w:rPr>
          <w:color w:val="000000"/>
          <w:position w:val="-4"/>
          <w:sz w:val="21"/>
          <w:szCs w:val="21"/>
          <w:vertAlign w:val="subscript"/>
        </w:rPr>
        <w:t xml:space="preserve">MPO</w:t>
      </w:r>
      <w:r>
        <w:rPr>
          <w:color w:val="000000"/>
          <w:sz w:val="24"/>
          <w:szCs w:val="24"/>
        </w:rPr>
        <w:t xml:space="preserve"> 29%; SZR-104</w:t>
      </w:r>
      <w:r>
        <w:rPr>
          <w:color w:val="000000"/>
          <w:position w:val="-4"/>
          <w:sz w:val="21"/>
          <w:szCs w:val="21"/>
          <w:vertAlign w:val="subscript"/>
        </w:rPr>
        <w:t xml:space="preserve">MPO</w:t>
      </w:r>
      <w:r>
        <w:rPr>
          <w:color w:val="000000"/>
          <w:sz w:val="24"/>
          <w:szCs w:val="24"/>
        </w:rPr>
        <w:t xml:space="preserve"> 32%) és a CitH3 (KYNA</w:t>
      </w:r>
      <w:r>
        <w:rPr>
          <w:color w:val="000000"/>
          <w:position w:val="-4"/>
          <w:sz w:val="21"/>
          <w:szCs w:val="21"/>
          <w:vertAlign w:val="subscript"/>
        </w:rPr>
        <w:t xml:space="preserve">CitH3</w:t>
      </w:r>
      <w:r>
        <w:rPr>
          <w:color w:val="000000"/>
          <w:sz w:val="24"/>
          <w:szCs w:val="24"/>
        </w:rPr>
        <w:t xml:space="preserve"> 21%; SZR-72</w:t>
      </w:r>
      <w:r>
        <w:rPr>
          <w:color w:val="000000"/>
          <w:position w:val="-4"/>
          <w:sz w:val="21"/>
          <w:szCs w:val="21"/>
          <w:vertAlign w:val="subscript"/>
        </w:rPr>
        <w:t xml:space="preserve">CitH3</w:t>
      </w:r>
      <w:r>
        <w:rPr>
          <w:color w:val="000000"/>
          <w:sz w:val="24"/>
          <w:szCs w:val="24"/>
        </w:rPr>
        <w:t xml:space="preserve"> 24%; SZR-104</w:t>
      </w:r>
      <w:r>
        <w:rPr>
          <w:color w:val="000000"/>
          <w:position w:val="-4"/>
          <w:sz w:val="21"/>
          <w:szCs w:val="21"/>
          <w:vertAlign w:val="subscript"/>
        </w:rPr>
        <w:t xml:space="preserve">CitH3</w:t>
      </w:r>
      <w:r>
        <w:rPr>
          <w:color w:val="000000"/>
          <w:sz w:val="24"/>
          <w:szCs w:val="24"/>
        </w:rPr>
        <w:t xml:space="preserve"> 14,5%) szinteket. A szepszis 28-35%-kal csökkentette a mitokondriális cerebellum-hippocampus komplex II-függő OXPHOS kapacitást, amely KYNA/KYNA analóg kezelések hatására számottevően javult a cerebellumban (KYNA:24%; SZR-72:16% és SZR-104:19%; P&lt;0,05).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Kísérleteinkben elsőként igazoltuk a KYNA és analógjainak gátló hatását a neutrofil aktiváció/NET képződésre, amely hozzájárulhat a szepszis okozta mitokondriális diszfunkció javulásához a KIR-ben.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Támogató: GINOP-2.3.2-15-2016-00034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182318">
    <w:multiLevelType w:val="hybridMultilevel"/>
    <w:lvl w:ilvl="0" w:tplc="341183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182318">
    <w:abstractNumId w:val="661823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03083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