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PATEL KOSHA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kosha_25@yahoo.com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Miklos Bitay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Off-pump teljes artériás revaszkularizáció kétoldali belső mellkasi „Y” grafttal, aorta érintésmentes technika: 15 éves követés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Background. This prospective study analyses the long-term results of the off-pump revascularization with bilateral internal thoracic arteries, the aortic no-touch technique.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Methods. Between 2004-2018, 786 patients were revascularized with the aortic no- touch technique, by one surgical team. The right ITA was used as a free graft and attached to the left ITA in a “Y” fashioned graft.</w:t>
      </w:r>
      <w:r>
        <w:rPr>
          <w:color w:val="000000"/>
          <w:sz w:val="24"/>
          <w:szCs w:val="24"/>
        </w:rPr>
        <w:br/>
        <w:t xml:space="preserve">The average patient age was 65.59 years, the mean graft number 3.18, the rate of triple-vessel disease (VD) was 68.67%. The LV function was impaired in 37.71% cases, 34.49% were diabetic, 51.02% of patients had previous MI.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Results. The 30-day mortality was 1.27%. The re-operation rate for bleeding was 0.76%, deep sternal wound infection occurred in 1.02% of cases. New neurological complications occurred in 0.38%. The postoperative in-hospital stay was 8.29±4.59 days.</w:t>
      </w:r>
      <w:r>
        <w:rPr>
          <w:color w:val="000000"/>
          <w:sz w:val="24"/>
          <w:szCs w:val="24"/>
        </w:rPr>
        <w:br/>
        <w:t xml:space="preserve">The follow-up was between 2 and 16 years. There was no late surgical revascularization and late PCI was performed in 1.67% of cases on the grafted vessel. Late stroke occurred at 1.64% of patients at 5 years, 2.13% at 10 years and 3.46% at 15 years. The 5, 10 and 15-year mortality was 5.92%, 9.70% and 12.82% respectively, at a follow-up ratio of 80.15%.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Conclusions. This technique facilitates full myocardial revascularization, with low re-operation rate for bleeding and deep sternal wound infection despite the use of BITA and, considering the aortic no-touch technique, the incidence of early stroke was low.</w:t>
      </w:r>
      <w:r>
        <w:rPr>
          <w:color w:val="000000"/>
          <w:sz w:val="24"/>
          <w:szCs w:val="24"/>
        </w:rPr>
        <w:br/>
        <w:t xml:space="preserve">The use of multiple ITA grafts explains the low incidence of reintervention and the low mortality rates.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92646">
    <w:multiLevelType w:val="hybridMultilevel"/>
    <w:lvl w:ilvl="0" w:tplc="93150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92646">
    <w:abstractNumId w:val="704926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16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