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MOHÁCSI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mohacsigabor1@gmail.com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Varró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CITRUS ALKALOIDOK CELLULÁRIS SZÍVELEKTROFIZIÓLÓGIAI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21. században új betegségek jelentik a legnagyobb kihívást</w:t>
      </w:r>
      <w:r>
        <w:rPr>
          <w:color w:val="000000"/>
          <w:sz w:val="24"/>
          <w:szCs w:val="24"/>
        </w:rPr>
        <w:br/>
        <w:t xml:space="preserve">az orvostudomány számára. Kiemelten fontosak az aritmiák, hiszen ezek</w:t>
      </w:r>
      <w:r>
        <w:rPr>
          <w:color w:val="000000"/>
          <w:sz w:val="24"/>
          <w:szCs w:val="24"/>
        </w:rPr>
        <w:br/>
        <w:t xml:space="preserve">prevalenciája és mortalitása egyre nagyobb szerte a világban. Aritmia keltő</w:t>
      </w:r>
      <w:r>
        <w:rPr>
          <w:color w:val="000000"/>
          <w:sz w:val="24"/>
          <w:szCs w:val="24"/>
        </w:rPr>
        <w:br/>
        <w:t xml:space="preserve">hatása adott esetben gyógyszereknek is lehet, de ritka esetekben</w:t>
      </w:r>
      <w:r>
        <w:rPr>
          <w:color w:val="000000"/>
          <w:sz w:val="24"/>
          <w:szCs w:val="24"/>
        </w:rPr>
        <w:br/>
        <w:t xml:space="preserve">élelmiszerek is kelthetnek aritmiát, például a citrusfélék bioaktív vegyületei.</w:t>
      </w:r>
      <w:r>
        <w:rPr>
          <w:color w:val="000000"/>
          <w:sz w:val="24"/>
          <w:szCs w:val="24"/>
        </w:rPr>
        <w:br/>
        <w:t xml:space="preserve">Ezen ismeretek felvetik azt a kérdést, hogy nagyobb mennyiségű</w:t>
      </w:r>
      <w:r>
        <w:rPr>
          <w:color w:val="000000"/>
          <w:sz w:val="24"/>
          <w:szCs w:val="24"/>
        </w:rPr>
        <w:br/>
        <w:t xml:space="preserve">citrusfélének vagy italnak az elfogyasztása jár-e bármilyen aritmiás kockázat</w:t>
      </w:r>
      <w:r>
        <w:rPr>
          <w:color w:val="000000"/>
          <w:sz w:val="24"/>
          <w:szCs w:val="24"/>
        </w:rPr>
        <w:br/>
        <w:t xml:space="preserve">növekedéssel egészséges, vagy szívbetegséggel rendelkező egyének</w:t>
      </w:r>
      <w:r>
        <w:rPr>
          <w:color w:val="000000"/>
          <w:sz w:val="24"/>
          <w:szCs w:val="24"/>
        </w:rPr>
        <w:br/>
        <w:t xml:space="preserve">esetében. A legjelentősebb ilyen flavonoidok, a hesperetin és a naringenin.</w:t>
      </w:r>
      <w:r>
        <w:rPr>
          <w:color w:val="000000"/>
          <w:sz w:val="24"/>
          <w:szCs w:val="24"/>
        </w:rPr>
        <w:br/>
        <w:t xml:space="preserve">Célkitűzések: A kutatásunk célja az volt, hogy megfigyeljük a hesperetin</w:t>
      </w:r>
      <w:r>
        <w:rPr>
          <w:color w:val="000000"/>
          <w:sz w:val="24"/>
          <w:szCs w:val="24"/>
        </w:rPr>
        <w:br/>
        <w:t xml:space="preserve">szívizomra gyakorolt elektrofiziológiai hatását, okoz-e bármilyen változást a</w:t>
      </w:r>
      <w:r>
        <w:rPr>
          <w:color w:val="000000"/>
          <w:sz w:val="24"/>
          <w:szCs w:val="24"/>
        </w:rPr>
        <w:br/>
        <w:t xml:space="preserve">szív elektromos tulajdonságaiban és esetlegesen mekkora ezen hatások</w:t>
      </w:r>
      <w:r>
        <w:rPr>
          <w:color w:val="000000"/>
          <w:sz w:val="24"/>
          <w:szCs w:val="24"/>
        </w:rPr>
        <w:br/>
        <w:t xml:space="preserve">mértéke.</w:t>
      </w:r>
      <w:r>
        <w:rPr>
          <w:color w:val="000000"/>
          <w:sz w:val="24"/>
          <w:szCs w:val="24"/>
        </w:rPr>
        <w:br/>
        <w:t xml:space="preserve">Módszerek: A kísérleteket kutya (Beagle) papilláris izmokon végeztem</w:t>
      </w:r>
      <w:r>
        <w:rPr>
          <w:color w:val="000000"/>
          <w:sz w:val="24"/>
          <w:szCs w:val="24"/>
        </w:rPr>
        <w:br/>
        <w:t xml:space="preserve">mindkét nemből, vegyesen. Az állatok xilazinnal (1mg/kg) lettek szedálva,</w:t>
      </w:r>
      <w:r>
        <w:rPr>
          <w:color w:val="000000"/>
          <w:sz w:val="24"/>
          <w:szCs w:val="24"/>
        </w:rPr>
        <w:br/>
        <w:t xml:space="preserve">majd pentobarbitállal elaltatva (30mg/kg), ezt egy heparin injekció követte.</w:t>
      </w:r>
      <w:r>
        <w:rPr>
          <w:color w:val="000000"/>
          <w:sz w:val="24"/>
          <w:szCs w:val="24"/>
        </w:rPr>
        <w:br/>
        <w:t xml:space="preserve">Gyorsan távolítottuk el a szíveket lateralis thoracotómiával, majd oxigenált</w:t>
      </w:r>
      <w:r>
        <w:rPr>
          <w:color w:val="000000"/>
          <w:sz w:val="24"/>
          <w:szCs w:val="24"/>
        </w:rPr>
        <w:br/>
        <w:t xml:space="preserve">Locke oldatba kerültek. Az akciós potenciálokat és tulajdonságaikat</w:t>
      </w:r>
      <w:r>
        <w:rPr>
          <w:color w:val="000000"/>
          <w:sz w:val="24"/>
          <w:szCs w:val="24"/>
        </w:rPr>
        <w:br/>
        <w:t xml:space="preserve">konvencionális mikrtoelektróddal rögzítettem. Az akciós potenciál változások</w:t>
      </w:r>
      <w:r>
        <w:rPr>
          <w:color w:val="000000"/>
          <w:sz w:val="24"/>
          <w:szCs w:val="24"/>
        </w:rPr>
        <w:br/>
        <w:t xml:space="preserve">hátterében lévő ioncsatorna hatásokat patch clamp technikával vizsgáltuk</w:t>
      </w:r>
      <w:r>
        <w:rPr>
          <w:color w:val="000000"/>
          <w:sz w:val="24"/>
          <w:szCs w:val="24"/>
        </w:rPr>
        <w:br/>
        <w:t xml:space="preserve">izolált kamrai miocitákon.</w:t>
      </w:r>
      <w:r>
        <w:rPr>
          <w:color w:val="000000"/>
          <w:sz w:val="24"/>
          <w:szCs w:val="24"/>
        </w:rPr>
        <w:br/>
        <w:t xml:space="preserve">Következtetés: A hesperetin hatással van a repolarizációs rezervre,</w:t>
      </w:r>
      <w:r>
        <w:rPr>
          <w:color w:val="000000"/>
          <w:sz w:val="24"/>
          <w:szCs w:val="24"/>
        </w:rPr>
        <w:br/>
        <w:t xml:space="preserve">azonban elsődlegesen nem az irodalom alapján várt IKr gátló hatás volt</w:t>
      </w:r>
      <w:r>
        <w:rPr>
          <w:color w:val="000000"/>
          <w:sz w:val="24"/>
          <w:szCs w:val="24"/>
        </w:rPr>
        <w:br/>
        <w:t xml:space="preserve">kimutatható, hanem IKs, IK1 és Ito gátló hatások, amely az akciós potenciál</w:t>
      </w:r>
      <w:r>
        <w:rPr>
          <w:color w:val="000000"/>
          <w:sz w:val="24"/>
          <w:szCs w:val="24"/>
        </w:rPr>
        <w:br/>
        <w:t xml:space="preserve">időtartamának (APD) a növekedését okozza. Az egészséges populációban</w:t>
      </w:r>
      <w:r>
        <w:rPr>
          <w:color w:val="000000"/>
          <w:sz w:val="24"/>
          <w:szCs w:val="24"/>
        </w:rPr>
        <w:br/>
        <w:t xml:space="preserve">ezt a hatást a repolarizációs rezerv képes ellensúlyozni, azonban ha</w:t>
      </w:r>
      <w:r>
        <w:rPr>
          <w:color w:val="000000"/>
          <w:sz w:val="24"/>
          <w:szCs w:val="24"/>
        </w:rPr>
        <w:br/>
        <w:t xml:space="preserve">valamely betegség esetén ez a mechanizmus gyengül, az APD növekszik,</w:t>
      </w:r>
      <w:r>
        <w:rPr>
          <w:color w:val="000000"/>
          <w:sz w:val="24"/>
          <w:szCs w:val="24"/>
        </w:rPr>
        <w:br/>
        <w:t xml:space="preserve">ami egy jelentős aritmiás kockázat. Így ritka esetekben a nagy mennyiségű</w:t>
      </w:r>
      <w:r>
        <w:rPr>
          <w:color w:val="000000"/>
          <w:sz w:val="24"/>
          <w:szCs w:val="24"/>
        </w:rPr>
        <w:br/>
        <w:t xml:space="preserve">citrusféle, vagy azok levének a fogyasztása aritmiás kockázat növekedéshez</w:t>
      </w:r>
      <w:r>
        <w:rPr>
          <w:color w:val="000000"/>
          <w:sz w:val="24"/>
          <w:szCs w:val="24"/>
        </w:rPr>
        <w:br/>
        <w:t xml:space="preserve">vezethet.</w:t>
      </w:r>
      <w:r>
        <w:rPr>
          <w:color w:val="000000"/>
          <w:sz w:val="24"/>
          <w:szCs w:val="24"/>
        </w:rPr>
        <w:br/>
        <w:t xml:space="preserve">Támogató: Nemzeti Tudósképző Akadémia programja az Innovációs és</w:t>
      </w:r>
      <w:r>
        <w:rPr>
          <w:color w:val="000000"/>
          <w:sz w:val="24"/>
          <w:szCs w:val="24"/>
        </w:rPr>
        <w:br/>
        <w:t xml:space="preserve">Technológiai Minisztérium pénzügyi hozzájárulásával (FEIF/646-4/2021-</w:t>
      </w:r>
      <w:r>
        <w:rPr>
          <w:color w:val="000000"/>
          <w:sz w:val="24"/>
          <w:szCs w:val="24"/>
        </w:rPr>
        <w:br/>
        <w:t xml:space="preserve">ITM_SZERZ)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035822">
    <w:multiLevelType w:val="hybridMultilevel"/>
    <w:lvl w:ilvl="0" w:tplc="837326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035822">
    <w:abstractNumId w:val="260358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93664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