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SAFVATY AMIN HANANEH</w:t>
            </w:r>
          </w:p>
          <w:p w:rsidR="00C275A3" w:rsidRDefault="00186641" w:rsidP="00C275A3">
            <w:pPr>
              <w:pStyle w:val="Hallgatokepzes"/>
            </w:pPr>
            <w:r w:rsidRPr="002361E2">
              <w:rPr>
                <w:i/>
              </w:rPr>
              <w:t>hananehamin@gmail.com</w:t>
            </w:r>
            <w:r w:rsidRPr="002361E2">
              <w:rPr>
                <w:i/>
              </w:rPr>
              <w:br/>
            </w:r>
            <w:r w:rsidR="00A96AEC">
              <w:t>Általános orvos</w:t>
            </w:r>
            <w:r w:rsidR="00A96AEC">
              <w:br/>
            </w:r>
            <w:r w:rsidR="00E77B23">
              <w:t>Osztatlan, 7. félév</w:t>
            </w:r>
          </w:p>
          <w:p w:rsidR="00C265CE" w:rsidRPr="009E5FF1" w:rsidRDefault="00E77B23" w:rsidP="009763E0">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Takayuki Kurokawa</w:t>
            </w:r>
          </w:p>
          <w:p w:rsidR="00DB4822" w:rsidRDefault="00DB4822" w:rsidP="009763E0">
            <w:pPr>
              <w:pStyle w:val="Konzulensektitulus"/>
            </w:pPr>
            <w:r w:rsidRPr="00DB4822">
              <w:t>klinikai orvos, SZTE SZAOK</w:t>
            </w:r>
          </w:p>
        </w:tc>
      </w:tr>
      <w:tr w:rsidR="00DB4822" w:rsidTr="00DB4822">
        <w:tc>
          <w:tcPr>
            <w:tcW w:w="9854" w:type="dxa"/>
          </w:tcPr>
          <w:p w:rsidR="00DB4822" w:rsidRPr="00DB4822" w:rsidRDefault="00DB4822" w:rsidP="009763E0">
            <w:pPr>
              <w:pStyle w:val="Konzulenseknev"/>
            </w:pPr>
            <w:r w:rsidRPr="00DB4822">
              <w:t>Dr. Pozder András</w:t>
            </w:r>
          </w:p>
          <w:p w:rsidR="00DB4822" w:rsidRDefault="00DB4822" w:rsidP="009763E0">
            <w:pPr>
              <w:pStyle w:val="Konzulensektitulus"/>
            </w:pPr>
            <w:r w:rsidRPr="00DB4822">
              <w:t>klinikai orvos,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délmagyar-szerb határon átjáró illegalis migránsok számának változásának és az ezzel kapcsolatos kiadásoknak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In the past decade Europe has seen a dramatic increase in the influx of undocumented migrants, most of whom have come from the middle east and north africa, with western European countries being their target destination. Having multiple borders with the neighboring countries, naturally Hungary has also experienced an increase in undocumented migrants. Our level one Trauma center in Szeged is situated near the Hungarian - Serbian border, where a 4-m fence constructed in 2018 serves as a barricade leading to numerous trauma cases. The objective of this study is to characterize the epidemiology of relevant injuries and find patterns, if any, that could prove useful in the prediction of future trends and costs.</w:t>
      </w:r>
      <w:r>
        <w:rPr>
          <w:color w:val="000000"/>
          <w:sz w:val="24"/>
          <w:szCs w:val="24"/>
        </w:rPr>
        <w:br/>
        <w:br/>
        <w:br/>
        <w:t xml:space="preserve">977 patients who were admitted to the emergency trauma center in the University of Szeged between January 2018 and December 2022, were retrospectively examined using data from our electronic administrative system (eMedSol). No patients were excluded and fractures–according to the AO classification– treatments, injury mechanisms, and costs were assessed to set as a basis for prediction of future injuries and cost burdens.</w:t>
      </w:r>
      <w:r>
        <w:rPr>
          <w:color w:val="000000"/>
          <w:sz w:val="24"/>
          <w:szCs w:val="24"/>
        </w:rPr>
        <w:br/>
        <w:br/>
        <w:br/>
        <w:t xml:space="preserve">Patterns of injury predominantly included calcaneal fractures in the years 2018 to 2020 whereas in 2021 and 2022 along with the exponential increase in patient number, bilateral calcaneal fractures, as well as open and multi-fragmentary tibial fractures were also observed. Additionally, seasonal variations, favoring the months of September through November were observed. Treatment cost ratios, especially regarding surgery, have remained constant across the years– that is an average of 13% of total costs, thus signifying an almost fixed number of surgeries regardless of the number of patients. Surgical costs alone, among other costs, have nevertheless grown exponentially and are predicted to continue with this trend as the influx of undocumented migrants continues to increase.</w:t>
      </w:r>
      <w:r>
        <w:rPr>
          <w:color w:val="000000"/>
          <w:sz w:val="24"/>
          <w:szCs w:val="24"/>
        </w:rPr>
        <w:br/>
        <w:br/>
        <w:t xml:space="preserve">Undocumented immigrant cases have increased exponentially between 2018 and 2022, with certain patterns seen not only in the injury types but also in seasonal variations and cost expectations. Injuries have been showing a trend of proximalization and have been of more serious quality, including bilateral and/or open injuries. Revisions after surgery were virtually impossible due to the fact that the patients were discharged back to border control after definitive treatment. The need for adequate quality surgical care, manpower and financial aid should be considered.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57159">
    <w:multiLevelType w:val="hybridMultilevel"/>
    <w:lvl w:ilvl="0" w:tplc="28058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57159">
    <w:abstractNumId w:val="993571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960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