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 DR. BAJNER BORBÁLA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bajner.bori@hotmail.com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Tornóczki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Oralis potenciálisan malignus elváltozások immunhisztokémiai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szájüregben előforduló daganatok több, mint 90%-át a laphámsejtes carcinomák</w:t>
      </w:r>
      <w:r>
        <w:rPr>
          <w:color w:val="000000"/>
          <w:sz w:val="24"/>
          <w:szCs w:val="24"/>
        </w:rPr>
        <w:br/>
        <w:t xml:space="preserve">(OSCC) adják, amelyek az esetek jelentős részében oralis potenciálisan malignus</w:t>
      </w:r>
      <w:r>
        <w:rPr>
          <w:color w:val="000000"/>
          <w:sz w:val="24"/>
          <w:szCs w:val="24"/>
        </w:rPr>
        <w:br/>
        <w:t xml:space="preserve">elváltozások (OPMD) talaján fejlődnek ki. OPMD-k klinikai diagnózisok,</w:t>
      </w:r>
      <w:r>
        <w:rPr>
          <w:color w:val="000000"/>
          <w:sz w:val="24"/>
          <w:szCs w:val="24"/>
        </w:rPr>
        <w:br/>
        <w:t xml:space="preserve">hisztopatologiai értékelésük kapcsán a az oralis epithelialis dysplasia (OED) jelenlétét</w:t>
      </w:r>
      <w:r>
        <w:rPr>
          <w:color w:val="000000"/>
          <w:sz w:val="24"/>
          <w:szCs w:val="24"/>
        </w:rPr>
        <w:br/>
        <w:t xml:space="preserve">és mértékét vizsgáljuk. Rutin klinikai és hisztopathologiai vizsgálatok a malignus</w:t>
      </w:r>
      <w:r>
        <w:rPr>
          <w:color w:val="000000"/>
          <w:sz w:val="24"/>
          <w:szCs w:val="24"/>
        </w:rPr>
        <w:br/>
        <w:t xml:space="preserve">transzformáció előrejelzésére kevéssé alkalmasak. A diagnosztikában hasznosak</w:t>
      </w:r>
      <w:r>
        <w:rPr>
          <w:color w:val="000000"/>
          <w:sz w:val="24"/>
          <w:szCs w:val="24"/>
        </w:rPr>
        <w:br/>
        <w:t xml:space="preserve">lehetnek az immunhisztokémiai (IHC) vizsgálatok.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kórszövettani adatbázisból 2017-től 2020-ig időszakban legyűjtött, a PTE Fogászati</w:t>
      </w:r>
      <w:r>
        <w:rPr>
          <w:color w:val="000000"/>
          <w:sz w:val="24"/>
          <w:szCs w:val="24"/>
        </w:rPr>
        <w:br/>
        <w:t xml:space="preserve">és Szájsebészeti Klinikájáról küldött OPMD vagy OSCC iránydiagnózissal rendelkező</w:t>
      </w:r>
      <w:r>
        <w:rPr>
          <w:color w:val="000000"/>
          <w:sz w:val="24"/>
          <w:szCs w:val="24"/>
        </w:rPr>
        <w:br/>
        <w:t xml:space="preserve">biopsziás mintákból kiválogattunk 32 esetet, majd 5 csoportot alakítottunk ki intraoralis</w:t>
      </w:r>
      <w:r>
        <w:rPr>
          <w:color w:val="000000"/>
          <w:sz w:val="24"/>
          <w:szCs w:val="24"/>
        </w:rPr>
        <w:br/>
        <w:t xml:space="preserve">vagy labialis lokalizáció, illetve a dysplasia jelenléte szerint: 1-OPMD dysplasia nélkül,</w:t>
      </w:r>
      <w:r>
        <w:rPr>
          <w:color w:val="000000"/>
          <w:sz w:val="24"/>
          <w:szCs w:val="24"/>
        </w:rPr>
        <w:br/>
        <w:t xml:space="preserve">2-OPMD dysplasiaval, 3-OSCC, 4-ajak dysplasia és 5-ajak laphám carcinoma. Az</w:t>
      </w:r>
      <w:r>
        <w:rPr>
          <w:color w:val="000000"/>
          <w:sz w:val="24"/>
          <w:szCs w:val="24"/>
        </w:rPr>
        <w:br/>
        <w:t xml:space="preserve">eMedSolution adatbázisból klinikai adatokat gyűjtöttünk a páciensek életkorára,</w:t>
      </w:r>
      <w:r>
        <w:rPr>
          <w:color w:val="000000"/>
          <w:sz w:val="24"/>
          <w:szCs w:val="24"/>
        </w:rPr>
        <w:br/>
        <w:t xml:space="preserve">nemére, rossz szokásaira, és a lézió klinikai leírására vonatkozóan. A beválogatott</w:t>
      </w:r>
      <w:r>
        <w:rPr>
          <w:color w:val="000000"/>
          <w:sz w:val="24"/>
          <w:szCs w:val="24"/>
        </w:rPr>
        <w:br/>
        <w:t xml:space="preserve">metszetek IHC vizsgálatát p53, p16, Ki-67, CK13, CK17 antitestekkel végeztük, majd</w:t>
      </w:r>
      <w:r>
        <w:rPr>
          <w:color w:val="000000"/>
          <w:sz w:val="24"/>
          <w:szCs w:val="24"/>
        </w:rPr>
        <w:br/>
        <w:t xml:space="preserve">digitalizáltuk, kiértékeltük és a klinikai adatok alapján összehasonlítottuk a csoportokat.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Vizsgálatunk alapján dysplasia jelenlétével a p53 és Ki-67 abnormális jelölődése jobb</w:t>
      </w:r>
      <w:r>
        <w:rPr>
          <w:color w:val="000000"/>
          <w:sz w:val="24"/>
          <w:szCs w:val="24"/>
        </w:rPr>
        <w:br/>
        <w:t xml:space="preserve">korrelációt mutat, mint a CK13 vagy CK17 expresszió. Mintáinkban a p16 pozitivitás</w:t>
      </w:r>
      <w:r>
        <w:rPr>
          <w:color w:val="000000"/>
          <w:sz w:val="24"/>
          <w:szCs w:val="24"/>
        </w:rPr>
        <w:br/>
        <w:t xml:space="preserve">volt a legritkább. Vizsgálatunkat limitálja az egyes csoportok kis esetszáma és az</w:t>
      </w:r>
      <w:r>
        <w:rPr>
          <w:color w:val="000000"/>
          <w:sz w:val="24"/>
          <w:szCs w:val="24"/>
        </w:rPr>
        <w:br/>
        <w:t xml:space="preserve">OSCC-s csoport inhomogenitása. Klinikailag ép nyálkahártyát tartalmazó kontroll</w:t>
      </w:r>
      <w:r>
        <w:rPr>
          <w:color w:val="000000"/>
          <w:sz w:val="24"/>
          <w:szCs w:val="24"/>
        </w:rPr>
        <w:br/>
        <w:t xml:space="preserve">csoport mindenképpen segítene a reaktív és dysplasticus tendenciával rendelkező</w:t>
      </w:r>
      <w:r>
        <w:rPr>
          <w:color w:val="000000"/>
          <w:sz w:val="24"/>
          <w:szCs w:val="24"/>
        </w:rPr>
        <w:br/>
        <w:t xml:space="preserve">minták elkülönítésében. A markerek prognosztikus értékét egy prospektív nyomon</w:t>
      </w:r>
      <w:r>
        <w:rPr>
          <w:color w:val="000000"/>
          <w:sz w:val="24"/>
          <w:szCs w:val="24"/>
        </w:rPr>
        <w:br/>
        <w:t xml:space="preserve">követéses vizsgálatban vagy egy a retrospektív vizsgálatban meghatározott populációt</w:t>
      </w:r>
      <w:r>
        <w:rPr>
          <w:color w:val="000000"/>
          <w:sz w:val="24"/>
          <w:szCs w:val="24"/>
        </w:rPr>
        <w:br/>
        <w:t xml:space="preserve">visszarendelve lehetne értékelni.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48515">
    <w:multiLevelType w:val="hybridMultilevel"/>
    <w:lvl w:ilvl="0" w:tplc="88614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48515">
    <w:abstractNumId w:val="81748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72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