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PÁSTI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dorapasti0@gmail.com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Katona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Tornóczki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Oralis epithelialis dysplasia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oralis epithelialis dysplasia (OED) a szájüregi nyálkahártya olyan mikroszkópos</w:t>
      </w:r>
      <w:r>
        <w:rPr>
          <w:color w:val="000000"/>
          <w:sz w:val="24"/>
          <w:szCs w:val="24"/>
        </w:rPr>
        <w:br/>
        <w:t xml:space="preserve">cytologiai vagy hám rétegzettségi elváltozásai melyek a lézió malignus</w:t>
      </w:r>
      <w:r>
        <w:rPr>
          <w:color w:val="000000"/>
          <w:sz w:val="24"/>
          <w:szCs w:val="24"/>
        </w:rPr>
        <w:br/>
        <w:t xml:space="preserve">transzformációjának lehetőségét vetik fel. Súlyosságát, a dysplasia grádusával</w:t>
      </w:r>
      <w:r>
        <w:rPr>
          <w:color w:val="000000"/>
          <w:sz w:val="24"/>
          <w:szCs w:val="24"/>
        </w:rPr>
        <w:br/>
        <w:t xml:space="preserve">jellemezzük. Jelenleg számos rendszer szerint történhet az OED értékelése, melyből a</w:t>
      </w:r>
      <w:r>
        <w:rPr>
          <w:color w:val="000000"/>
          <w:sz w:val="24"/>
          <w:szCs w:val="24"/>
        </w:rPr>
        <w:br/>
        <w:t xml:space="preserve">legszélesebb körben alkalmazott a trifázisos és a bináris rendszer.</w:t>
      </w:r>
      <w:r>
        <w:rPr>
          <w:color w:val="000000"/>
          <w:sz w:val="24"/>
          <w:szCs w:val="24"/>
        </w:rPr>
        <w:br/>
        <w:t xml:space="preserve">Kutatásunk során a 2018-tól 2020-ig a PTE KK Fogászati és Szájsebészeti Klinikán</w:t>
      </w:r>
      <w:r>
        <w:rPr>
          <w:color w:val="000000"/>
          <w:sz w:val="24"/>
          <w:szCs w:val="24"/>
        </w:rPr>
        <w:br/>
        <w:t xml:space="preserve">vett, orális potenciálisan malignus elváltozásokat (OPMD), valamint a laphámsejtes</w:t>
      </w:r>
      <w:r>
        <w:rPr>
          <w:color w:val="000000"/>
          <w:sz w:val="24"/>
          <w:szCs w:val="24"/>
        </w:rPr>
        <w:br/>
        <w:t xml:space="preserve">carcinomás (OSCC) eseteket gyűjtöttük össze és csoportosítottuk. Értékeltük a</w:t>
      </w:r>
      <w:r>
        <w:rPr>
          <w:color w:val="000000"/>
          <w:sz w:val="24"/>
          <w:szCs w:val="24"/>
        </w:rPr>
        <w:br/>
        <w:t xml:space="preserve">csoportokra jellemző demográfiai adatokat, a léziók lokalizációját, továbbá, a dysplasiát</w:t>
      </w:r>
      <w:r>
        <w:rPr>
          <w:color w:val="000000"/>
          <w:sz w:val="24"/>
          <w:szCs w:val="24"/>
        </w:rPr>
        <w:br/>
        <w:t xml:space="preserve">mutató OPMD csoport hisztológiai újraértékelését végeztük el a bináris gradálási</w:t>
      </w:r>
      <w:r>
        <w:rPr>
          <w:color w:val="000000"/>
          <w:sz w:val="24"/>
          <w:szCs w:val="24"/>
        </w:rPr>
        <w:br/>
        <w:t xml:space="preserve">rendszer alapján, majd összevetettük a trifázisos rendszerben történt értékelés</w:t>
      </w:r>
      <w:r>
        <w:rPr>
          <w:color w:val="000000"/>
          <w:sz w:val="24"/>
          <w:szCs w:val="24"/>
        </w:rPr>
        <w:br/>
        <w:t xml:space="preserve">eredményeivel.</w:t>
      </w:r>
      <w:r>
        <w:rPr>
          <w:color w:val="000000"/>
          <w:sz w:val="24"/>
          <w:szCs w:val="24"/>
        </w:rPr>
        <w:br/>
        <w:t xml:space="preserve">Az összesen 237 esetünkből 120 tartozott a dysplasiát nem mutató OPMD csoportba</w:t>
      </w:r>
      <w:r>
        <w:rPr>
          <w:color w:val="000000"/>
          <w:sz w:val="24"/>
          <w:szCs w:val="24"/>
        </w:rPr>
        <w:br/>
        <w:t xml:space="preserve">(47 férfi, 73 nő, átlag életkor: ~57, leggyakoribb lokalizáció: bucca). A dysplasiát</w:t>
      </w:r>
      <w:r>
        <w:rPr>
          <w:color w:val="000000"/>
          <w:sz w:val="24"/>
          <w:szCs w:val="24"/>
        </w:rPr>
        <w:br/>
        <w:t xml:space="preserve">mutató OPMD csoportba 12 eset (6 férfi, 6 nő, átlag életkor ~63, leggyakoribb</w:t>
      </w:r>
      <w:r>
        <w:rPr>
          <w:color w:val="000000"/>
          <w:sz w:val="24"/>
          <w:szCs w:val="24"/>
        </w:rPr>
        <w:br/>
        <w:t xml:space="preserve">lokalizáció: ajak), míg az OSCC csoportba 105 eset tartozott (74 férfi, 31 nő, átlag</w:t>
      </w:r>
      <w:r>
        <w:rPr>
          <w:color w:val="000000"/>
          <w:sz w:val="24"/>
          <w:szCs w:val="24"/>
        </w:rPr>
        <w:br/>
        <w:t xml:space="preserve">életkor:~70, leggyakoribb lokalizáció: ajak). A dysplasiát mutató OPMD esetekben a</w:t>
      </w:r>
      <w:r>
        <w:rPr>
          <w:color w:val="000000"/>
          <w:sz w:val="24"/>
          <w:szCs w:val="24"/>
        </w:rPr>
        <w:br/>
        <w:t xml:space="preserve">trifázisos rendszer szerint értékelve az enyhe dysplasia 34%, a mérsékelt 8%, a súlyos</w:t>
      </w:r>
      <w:r>
        <w:rPr>
          <w:color w:val="000000"/>
          <w:sz w:val="24"/>
          <w:szCs w:val="24"/>
        </w:rPr>
        <w:br/>
        <w:t xml:space="preserve">58%-ban fordult elő. A bináris rendszer szerint 42% a low grade, 58% a high grade</w:t>
      </w:r>
      <w:r>
        <w:rPr>
          <w:color w:val="000000"/>
          <w:sz w:val="24"/>
          <w:szCs w:val="24"/>
        </w:rPr>
        <w:br/>
        <w:t xml:space="preserve">dysplasia volt.</w:t>
      </w:r>
      <w:r>
        <w:rPr>
          <w:color w:val="000000"/>
          <w:sz w:val="24"/>
          <w:szCs w:val="24"/>
        </w:rPr>
        <w:br/>
        <w:t xml:space="preserve">Az OSCC csoportban volt a legmagasabb az átlagéletkor és a legmagasabb a férfiak</w:t>
      </w:r>
      <w:r>
        <w:rPr>
          <w:color w:val="000000"/>
          <w:sz w:val="24"/>
          <w:szCs w:val="24"/>
        </w:rPr>
        <w:br/>
        <w:t xml:space="preserve">aránya. A grading rendszerek összehasonlítása során a trifázisos rendszer eredményei</w:t>
      </w:r>
      <w:r>
        <w:rPr>
          <w:color w:val="000000"/>
          <w:sz w:val="24"/>
          <w:szCs w:val="24"/>
        </w:rPr>
        <w:br/>
        <w:t xml:space="preserve">nem korreláltak a bináris rendszer szerint végzett újraértékelésünk eredményeivel. Egy</w:t>
      </w:r>
      <w:r>
        <w:rPr>
          <w:color w:val="000000"/>
          <w:sz w:val="24"/>
          <w:szCs w:val="24"/>
        </w:rPr>
        <w:br/>
        <w:t xml:space="preserve">reprodukálható és a prognosztikában hasznos grading rendszer kifejlesztése további</w:t>
      </w:r>
      <w:r>
        <w:rPr>
          <w:color w:val="000000"/>
          <w:sz w:val="24"/>
          <w:szCs w:val="24"/>
        </w:rPr>
        <w:br/>
        <w:t xml:space="preserve">kutatást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878578">
    <w:multiLevelType w:val="hybridMultilevel"/>
    <w:lvl w:ilvl="0" w:tplc="281642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878578">
    <w:abstractNumId w:val="588785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87944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