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MILICA MILICIC</w:t>
            </w:r>
          </w:p>
          <w:p w:rsidR="00C275A3" w:rsidRDefault="00186641" w:rsidP="00C275A3">
            <w:pPr>
              <w:pStyle w:val="Hallgatokepzes"/>
            </w:pPr>
            <w:r w:rsidRPr="002361E2">
              <w:rPr>
                <w:i/>
              </w:rPr>
              <w:t>milicamilicic97@live.no</w:t>
            </w:r>
            <w:r w:rsidRPr="002361E2">
              <w:rPr>
                <w:i/>
              </w:rPr>
              <w:br/>
            </w:r>
            <w:r w:rsidR="00A96AEC">
              <w:t>Általános Orvos Szak</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Gasznerné Dr. Kormos Viktória</w:t>
            </w:r>
          </w:p>
          <w:p w:rsidR="00DB4822" w:rsidRDefault="00DB4822" w:rsidP="009763E0">
            <w:pPr>
              <w:pStyle w:val="Konzulensektitulus"/>
            </w:pPr>
            <w:r w:rsidRPr="00DB4822">
              <w:t>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TRPA1 ioncsatorna nem járul hozzá a locus ceruleus noradrenerg neuronjainak krónikus stressz által kiváltott aktivációjához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w:t>
      </w:r>
      <w:r>
        <w:rPr>
          <w:color w:val="000000"/>
          <w:sz w:val="24"/>
          <w:szCs w:val="24"/>
        </w:rPr>
        <w:br/>
        <w:t xml:space="preserve">We have previously proven the involvement of transient receptor potential ankyrin 1 (TRPA1) in stress adaptation. The lack of TRPA1 affects both urocortin1 (member of corticotropin-releasing horomone (CRH) family) content of the Edinger-Westphal nucleus, and serotonin immunoreactivity in dorsal raphe nucleus. The noradrenergic locus ceruleus (LC) is also an important player in mood control. Here we aimed at investigating whether the TRPA1 is expressed in the LC. We also put forward to test if the response to chronic variable mild stress (CVMS) is affected by the lack of TRPA1.</w:t>
      </w:r>
    </w:p>
    <w:p>
      <w:pPr>
        <w:widowControl w:val="on"/>
        <w:pBdr/>
        <w:spacing w:before="240" w:after="240" w:line="240" w:lineRule="auto"/>
        <w:ind w:left="0" w:right="0"/>
        <w:jc w:val="left"/>
      </w:pPr>
      <w:r>
        <w:rPr>
          <w:color w:val="000000"/>
          <w:sz w:val="24"/>
          <w:szCs w:val="24"/>
        </w:rPr>
        <w:t xml:space="preserve">Methods:</w:t>
      </w:r>
      <w:r>
        <w:rPr>
          <w:color w:val="000000"/>
          <w:sz w:val="24"/>
          <w:szCs w:val="24"/>
        </w:rPr>
        <w:br/>
        <w:t xml:space="preserve">The TRPA1 expression was examined by RNAscope in situ hybridization in the LC of intact C57BL6 mice. We investigated TRPA1 knockout and wildtype mice in the three-weeks CVMS model of depression. Tyrosine-hydroxylase (TH) and FOSB double immunofluorescence was used to test the functional-neuromorphological changes in the LC.</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No TRPA1 expression was detected in LC. The TH content was not affected by CVMS exposure. The FOSB immunosignal was induced by CVMS in the LC, however, it did not co-localize with the TH neurons. Unexpectedly, a strong CVMS-associated FOSB activation was detected in the Barrington’s nucleus (BN), located next to the LC.</w:t>
      </w:r>
    </w:p>
    <w:p>
      <w:pPr>
        <w:widowControl w:val="on"/>
        <w:pBdr/>
        <w:spacing w:before="240" w:after="240" w:line="240" w:lineRule="auto"/>
        <w:ind w:left="0" w:right="0"/>
        <w:jc w:val="left"/>
      </w:pPr>
      <w:r>
        <w:rPr>
          <w:color w:val="000000"/>
          <w:sz w:val="24"/>
          <w:szCs w:val="24"/>
        </w:rPr>
        <w:t xml:space="preserve">Conclusion:</w:t>
      </w:r>
      <w:r>
        <w:rPr>
          <w:color w:val="000000"/>
          <w:sz w:val="24"/>
          <w:szCs w:val="24"/>
        </w:rPr>
        <w:br/>
        <w:t xml:space="preserve">The TRPA1 is not expressed in the LC. Lack of functional TRPA1 receptor neither directly nor indirectly affects the TH content of LC neurons in CVMS. Current studies are in progress to determine how does the BN activation contribute to the development of overactive bladder and nocturnal enuresis that are both chronic stress-induced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38646">
    <w:multiLevelType w:val="hybridMultilevel"/>
    <w:lvl w:ilvl="0" w:tplc="23138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38646">
    <w:abstractNumId w:val="96638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679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