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JANKOVICS ESZTER</w:t>
            </w:r>
          </w:p>
          <w:p w:rsidR="00C275A3" w:rsidRDefault="00186641" w:rsidP="00C275A3">
            <w:pPr>
              <w:pStyle w:val="Hallgatokepzes"/>
            </w:pPr>
            <w:r w:rsidRPr="002361E2">
              <w:rPr>
                <w:i/>
              </w:rPr>
              <w:t>eszti.jankovics@gmail.com</w:t>
            </w:r>
            <w:r w:rsidRPr="002361E2">
              <w:rPr>
                <w:i/>
              </w:rPr>
              <w:br/>
            </w:r>
            <w:r w:rsidR="00A96AEC">
              <w:t>Általános Orvostudományi Szak</w:t>
            </w:r>
            <w:r w:rsidR="00A96AEC">
              <w:br/>
            </w:r>
            <w:r w:rsidR="00E77B23">
              <w:t>Osztatlan, 10.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Kinyó Ágnes</w:t>
            </w:r>
          </w:p>
          <w:p w:rsidR="00DB4822" w:rsidRDefault="00DB4822" w:rsidP="009763E0">
            <w:pPr>
              <w:pStyle w:val="Konzulensektitulus"/>
            </w:pPr>
            <w:r w:rsidRPr="00DB4822">
              <w:t>egyetemi adjunktus,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gyógyszer-indukálta bullosus pemphigoid immunológiai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bullosus pemphigoid (BP) egy időskori autoimmun hólyagos betegség, melynek incidenciája az utóbbi két évtizedben jelentősen megnőtt. Ennek hátterében az idősödő társadalmon kívül számos új gyógyszer provokáló szerepe is felmerül. Célkitűzésünk az utóbbi években a BP kialakulásában igazoltan szerepet játszó gyógyszerek kiváltó szerepének vizsgálata a PTE KK Bőr-, Nemikórtani és Onkodermatológiai Klinikán 2010. január 1. és 2020. december 31. között kezelt betegeknél.</w:t>
      </w:r>
    </w:p>
    <w:p>
      <w:pPr>
        <w:widowControl w:val="on"/>
        <w:pBdr/>
        <w:spacing w:before="240" w:after="240" w:line="240" w:lineRule="auto"/>
        <w:ind w:left="0" w:right="0"/>
        <w:jc w:val="left"/>
      </w:pPr>
      <w:r>
        <w:rPr>
          <w:color w:val="000000"/>
          <w:sz w:val="24"/>
          <w:szCs w:val="24"/>
        </w:rPr>
        <w:t xml:space="preserve">Betegek és módszerek: A BP diagnózissal a fenti időszakban 158 beteg került gondozásba, a betegeknél normál hematoxilin-eozin (HE) festéssel történt hisztologiai vizsgálat, direkt immunfluoreszcens vizsgálat (DIF) és laboratóriumi vizsgálat, valamint 2015-től hólyagos autoantitest ELISA vizsgálat is történt, ezek eredményeit hasonlítottuk össze az idiopathiás BP-ben szenvedő, valamint PD1/PD-L1 gátlót (n=4), a DPP-4 gátlót (n=20) és Xa faktor gátlót (n=6) kapó betegeknél.</w:t>
      </w:r>
    </w:p>
    <w:p>
      <w:pPr>
        <w:widowControl w:val="on"/>
        <w:pBdr/>
        <w:spacing w:before="240" w:after="240" w:line="240" w:lineRule="auto"/>
        <w:ind w:left="0" w:right="0"/>
        <w:jc w:val="left"/>
      </w:pPr>
      <w:r>
        <w:rPr>
          <w:color w:val="000000"/>
          <w:sz w:val="24"/>
          <w:szCs w:val="24"/>
        </w:rPr>
        <w:t xml:space="preserve">Eredmények: Eredményeink alapján megállapítottuk, hogy a PD1/PD-L1 gátlóval kezelt betegekben jóval fiatalabb életkorban kezdődött a betegség, mérsékelt perifériás és mérsékelt szöveti eozinofiliával, a DIF során gyakran megjelenő atípusos szerrált IgG és C3 pozitivitással. Az ELISA vizsgálat során a BP180 emelkedett volt, de BP230 pozitivitást nem észleltünk. Az Xa faktor gátlóban részesülő betegeknél az idiopathiás csoporthoz hasonló életkorban kezdődött a betegség, kifejezett szöveti és perifériás eozinofiliával, a DIF során gyakran megjelenő szerrált vagy granuláris IgG és C3 pozitivitással. Az ELISA értékek mind a BP180, mind a BP230 esetében jelentősen emelkedettek voltak.</w:t>
      </w:r>
    </w:p>
    <w:p>
      <w:pPr>
        <w:widowControl w:val="on"/>
        <w:pBdr/>
        <w:spacing w:before="240" w:after="240" w:line="240" w:lineRule="auto"/>
        <w:ind w:left="0" w:right="0"/>
        <w:jc w:val="left"/>
      </w:pPr>
      <w:r>
        <w:rPr>
          <w:color w:val="000000"/>
          <w:sz w:val="24"/>
          <w:szCs w:val="24"/>
        </w:rPr>
        <w:t xml:space="preserve">Következtetés: Eredményeink alapján elmondható, hogy a gyógyszer-indukálta BP-ben gyakrabban jelenik meg atípusos DIF festődés, atípusos HE szöveti kép, eltérő lehet a szérum és a szöveti eozinofilia mértéke, valamint az ELISA vizsgálat alapján többször merül fel atípusos epitópok vagy epitóp spreading megjelenése.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87246">
    <w:multiLevelType w:val="hybridMultilevel"/>
    <w:lvl w:ilvl="0" w:tplc="52223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87246">
    <w:abstractNumId w:val="113872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16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