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ROHÁCS DIÁNA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rohacs.diana@gmail.com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STUBNYA JÁNOS DOMONKOS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stubnyajanos2000@gmail.com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Kállai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SE Aneszteziológiai és Intenzív Terápiás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Párkányi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rezidens,  SE Aneszteziológiai és Intenzív Terápiás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SARS-COV2 fertőzés hatása a hagyományos és viszkoelasztikus alvadás monitorizálás eredményének összehasonlíthatóságára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kis molekulasúlyú heparinnal (LMWH) történő antikoaguláció monitorozására széles körben használt laboratóriumi módszer az antiXa mérés, amely elsősorban a plazma 18 pentóz alegységnél kisebb frakciójú heparin szintjét hivatott kimutatni NE/ml egységben. A viszkoelasztikus tesztek közül a ClotPro</w:t>
      </w:r>
      <w:r>
        <w:rPr>
          <w:color w:val="000000"/>
          <w:position w:val="4"/>
          <w:sz w:val="21"/>
          <w:szCs w:val="21"/>
          <w:vertAlign w:val="superscript"/>
        </w:rPr>
        <w:t xml:space="preserve">©</w:t>
      </w:r>
      <w:r>
        <w:rPr>
          <w:color w:val="000000"/>
          <w:sz w:val="24"/>
          <w:szCs w:val="24"/>
        </w:rPr>
        <w:t xml:space="preserve"> rendszerben alkalmazható RVV tesztet használhatjuk, mely X-es faktor aktivátorként a Russel vipera mérgéből készült derivátumot tartalmazza.</w:t>
      </w:r>
      <w:r>
        <w:rPr>
          <w:color w:val="000000"/>
          <w:sz w:val="24"/>
          <w:szCs w:val="24"/>
        </w:rPr>
        <w:br/>
        <w:t xml:space="preserve">Vizsgálatunk során célunk a COVID-státusz függvényében a hagyományos és viszkoelasztikus alvadás monitorizálás összehasonlíthatóságának vizsgálata volt LMWH-val kezelt betegek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Etikai engedéllyel bíró (SE RKEB: 116/2022) obszervációs vizsgálatunk során az SE ÁOK AITK Központi Intenzív Osztályán kezelt betegektől (40 beteg: 14 nő/ 26 ffi; átlagéletkor: 61,8 év +/-13,1 SD; átlag APACHE-II: 17,15+/-9,74 SD) végeztünk párhuzamos laboratóriumi antiXa aktivitás és bed-side RVV teszteket, összesen 52 esetben. Az antiXa aktivitás Innovance</w:t>
      </w:r>
      <w:r>
        <w:rPr>
          <w:color w:val="000000"/>
          <w:position w:val="4"/>
          <w:sz w:val="21"/>
          <w:szCs w:val="21"/>
          <w:vertAlign w:val="superscript"/>
        </w:rPr>
        <w:t xml:space="preserve">©</w:t>
      </w:r>
      <w:r>
        <w:rPr>
          <w:color w:val="000000"/>
          <w:sz w:val="24"/>
          <w:szCs w:val="24"/>
        </w:rPr>
        <w:t xml:space="preserve"> Heparin Assay segítségével került meghatározásra a Laboratóriumi Medicina Intézet Központi Laboratóriuma által. Emellett rögzítettük a betegek SARS-COV2 státuszát is (pozitív/negatív: 17/23).</w:t>
      </w:r>
      <w:r>
        <w:rPr>
          <w:color w:val="000000"/>
          <w:sz w:val="24"/>
          <w:szCs w:val="24"/>
        </w:rPr>
        <w:br/>
        <w:t xml:space="preserve">A heparin szintek és RVV teszt CT ideje közötti kapcsolat vizsgálatára egyszerű lineáris regressziót, a COVID-19 pozitív és negatív betegek maximális alvadék stabilitás eredményeinek összehasonlítására pedig t-tesztet végeztünk. 0,6 NE/ml antiXa érték felett a betegeket antikoaguláltnak tekintettük.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COVID-19 negatív betegeknél lineáris regresszióval relatíve erős kapcsolat mutatható ki a laboratóriumban mért antiXa aktivitás és az RVV CT idő között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:0,737; p&lt;0,0001). Ilyen összefüggés nem mutatható ki COVID19 pozitív betegeknél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:0,138; p: 0,0973). A COVID-19 pozitív és negatív betegek maximális alvadékstabilitása (MCF) között szignifikáns különbség mutatkozott (átlag negatív/pozitív: 62,23/66,57 mm; p: 0,033).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COVID-19 pozitív betegeknél megbízható, lineáris összefüggés nem állapítható meg az antiXa aktivitás és a viszkoelasztikus RVV teszt CT ideje között. A két csoport között talált eltérések hátterében a COVID-19 pozitív betegek hiperkoaguábilis állapota állhat, amit az MCF értékek között fennálló szignifikáns differencia is alátámaszt.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93629">
    <w:multiLevelType w:val="hybridMultilevel"/>
    <w:lvl w:ilvl="0" w:tplc="18631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93629">
    <w:abstractNumId w:val="661936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642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