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NÁZÁR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nazar.vivien@gmail.com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Herczegh Anna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Ghidán Ágoston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Klór-dioxid tartalmú gél baktériumölő képességének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Endodonciai kezelés során antimikrobiális gyógyszerek használatával fokozhatjuk a csíramentesítést. Munkacsoportunk korábbi vizsgálatai alátámasztották a nagytisztaságú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oldat endodonciai alkalmazhatóságát és a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gélformula alkalmazása is biztató eredményeket adott.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Endodonciai szempontból optimális összetételű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gél gázfázisának bizonyítása.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és CHX tartalmú gélek, és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baktériumölő képességének vizsgálata ex-vivo.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150 és 300 ppm koncentrációjú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gélt, CHX gélt (0.5%) és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pasztát Eppendorf csőbe helyeztünk. Kontrollként fiziológiás sóoldatot alkalmaztunk. Csoportonként (5x5) 500 μl vizsgálati anyaghoz 10μl 10</w:t>
      </w:r>
      <w:r>
        <w:rPr>
          <w:color w:val="000000"/>
          <w:position w:val="4"/>
          <w:sz w:val="21"/>
          <w:szCs w:val="21"/>
          <w:vertAlign w:val="superscript"/>
        </w:rPr>
        <w:t xml:space="preserve">8</w:t>
      </w:r>
      <w:r>
        <w:rPr>
          <w:color w:val="000000"/>
          <w:sz w:val="24"/>
          <w:szCs w:val="24"/>
        </w:rPr>
        <w:t xml:space="preserve"> CFU/ml E.faecalis-t adagoltunk. A mintákat 3 nap inkubáció után táptalajra szélesztettük. Ezt követően vizsgálati anyagainkat 2 naponta 10μl 10</w:t>
      </w:r>
      <w:r>
        <w:rPr>
          <w:color w:val="000000"/>
          <w:position w:val="4"/>
          <w:sz w:val="21"/>
          <w:szCs w:val="21"/>
          <w:vertAlign w:val="superscript"/>
        </w:rPr>
        <w:t xml:space="preserve">8</w:t>
      </w:r>
      <w:r>
        <w:rPr>
          <w:color w:val="000000"/>
          <w:sz w:val="24"/>
          <w:szCs w:val="24"/>
        </w:rPr>
        <w:t xml:space="preserve"> CFU/ml E.faecalis-szal fertőztük 3 alkalommal.</w:t>
      </w:r>
      <w:r>
        <w:rPr>
          <w:color w:val="000000"/>
          <w:sz w:val="24"/>
          <w:szCs w:val="24"/>
        </w:rPr>
        <w:br/>
        <w:t xml:space="preserve">2. Vizsgálati anyagainkból 500μl-t kémcsövekbe helyeztünk. Ezek fölé 1μl-es kacsra E.faecalis szuszpenziót helyeztünk úgy, hogy a kacs a kémcső falával és a géllel sem érintkezett. 60 perces inkubáció után kioltást végeztünk.</w:t>
      </w:r>
      <w:r>
        <w:rPr>
          <w:color w:val="000000"/>
          <w:sz w:val="24"/>
          <w:szCs w:val="24"/>
        </w:rPr>
        <w:br/>
        <w:t xml:space="preserve">3. 20 db egy gyökerű fogat dekoronáltunk, 16 mm-es gyökerét feltágítottuk és E.faecalis-szal fertőztük 7 napon át, ezt követően a reziduális baktérium mennyiséget meghatároztuk. Mechanikai preparálás, 2ml 2,5%-os NaOCl-os és fiziológiás sóoldatos átöblítést követően vizsgálati anyagainkat 5-5 gyökérbe helyeztük. A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gélből csak a 300 ppm koncentrációjút vizsgáltuk. A gyökereket 5 napig eppendorfokban 37°C-on inkubáltuk, majd a visszamaradt E.faecalis-t meghatároztuk.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kontroll kivételével egyik vizsgálati anyagból sem lehetett E.faecalis-t visszatenyészteni. A 2 naponként történő újra fertőzés esetén 4 nap után a fertőzöttség: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paszta esetében 35%, a másik három gél esetében 0% volt. A fertőzöttség 6 nap után 150 ppm-es gél: 25%, 300 ppm-es gél és CHX: 0 %.</w:t>
      </w:r>
      <w:r>
        <w:rPr>
          <w:color w:val="000000"/>
          <w:sz w:val="24"/>
          <w:szCs w:val="24"/>
        </w:rPr>
        <w:br/>
        <w:t xml:space="preserve">2. Gázfázis vizsgálat esetében igazolható volt, hogy csak a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képes kilépni a gélből és elölni a környezetében lévő E.faecalis-t.</w:t>
      </w:r>
      <w:r>
        <w:rPr>
          <w:color w:val="000000"/>
          <w:sz w:val="24"/>
          <w:szCs w:val="24"/>
        </w:rPr>
        <w:br/>
        <w:t xml:space="preserve">3. A gyökerek fertőzöttsége kezelés után: kontroll: 97%, 300ppm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: 45,5%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: 60%, CHX:13 %.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In vitro mind a négy vizsgálati anyag antimikrobiális hatása megfelelő.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 magasabb koncentrációjú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 hatékonyabb.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 ClO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tartalmú gél hatékonyabb a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-nál, de a CHX-nél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70174">
    <w:multiLevelType w:val="hybridMultilevel"/>
    <w:lvl w:ilvl="0" w:tplc="38707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70174">
    <w:abstractNumId w:val="82670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604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