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JUHÁSZ DONÁT HUBA</w:t>
            </w:r>
          </w:p>
          <w:p w:rsidR="00C275A3" w:rsidRDefault="00186641" w:rsidP="00C275A3">
            <w:pPr>
              <w:pStyle w:val="Hallgatokepzes"/>
            </w:pPr>
            <w:r w:rsidRPr="002361E2">
              <w:rPr>
                <w:i/>
              </w:rPr>
              <w:t>jdhuba99@gmail.com</w:t>
            </w:r>
            <w:r w:rsidRPr="002361E2">
              <w:rPr>
                <w:i/>
              </w:rPr>
              <w:br/>
            </w:r>
            <w:r w:rsidR="00A96AEC">
              <w:t>-</w:t>
            </w:r>
            <w:r w:rsidR="00A96AEC">
              <w:br/>
            </w:r>
            <w:r w:rsidR="00E77B23">
              <w:t>Osztatlan, 10. félév</w:t>
            </w:r>
          </w:p>
          <w:p w:rsidR="00C265CE" w:rsidRPr="009E5FF1" w:rsidRDefault="00E77B23" w:rsidP="009763E0">
            <w:pPr>
              <w:pStyle w:val="Hallgatointezmeny-kar"/>
              <w:rPr>
                <w:b/>
                <w:caps/>
              </w:rPr>
            </w:pPr>
            <w:r>
              <w:t>Semmelweis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UJJ PÉTER</w:t>
            </w:r>
          </w:p>
          <w:p w:rsidR="00DB4822" w:rsidRDefault="00186641" w:rsidP="004D7940">
            <w:pPr>
              <w:pStyle w:val="Hallgatokepzes"/>
            </w:pPr>
            <w:bookmarkStart w:id="1" w:name="_GoBack"/>
            <w:r w:rsidRPr="002361E2">
              <w:rPr>
                <w:i/>
              </w:rPr>
              <w:t>petya89899@gmail.com</w:t>
            </w:r>
            <w:r w:rsidRPr="002361E2">
              <w:rPr>
                <w:i/>
              </w:rPr>
              <w:br/>
            </w:r>
            <w:bookmarkEnd w:id="1"/>
            <w:r w:rsidR="00C275A3">
              <w:t>-</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Fogorvostudományi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Szentpéteri Szófia Katalin</w:t>
            </w:r>
          </w:p>
          <w:p w:rsidR="00DB4822" w:rsidRDefault="00DB4822" w:rsidP="009763E0">
            <w:pPr>
              <w:pStyle w:val="Konzulensektitulus"/>
            </w:pPr>
            <w:r w:rsidRPr="00DB4822">
              <w:t>egyetemi tanársegéd, SE FOK</w:t>
            </w:r>
          </w:p>
        </w:tc>
      </w:tr>
      <w:tr w:rsidR="00DB4822" w:rsidTr="00DB4822">
        <w:tc>
          <w:tcPr>
            <w:tcW w:w="9854" w:type="dxa"/>
          </w:tcPr>
          <w:p w:rsidR="00DB4822" w:rsidRPr="00DB4822" w:rsidRDefault="00DB4822" w:rsidP="009763E0">
            <w:pPr>
              <w:pStyle w:val="Konzulenseknev"/>
            </w:pPr>
            <w:r w:rsidRPr="00DB4822">
              <w:t>Dr. Vaszilkó Mihály Tamás PhD</w:t>
            </w:r>
          </w:p>
          <w:p w:rsidR="00DB4822" w:rsidRDefault="00DB4822" w:rsidP="009763E0">
            <w:pPr>
              <w:pStyle w:val="Konzulensektitulus"/>
            </w:pPr>
            <w:r w:rsidRPr="00DB4822">
              <w:t>egyetemi adjunktus,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Interleukin 1 adott single nucleotid polimorfizmusainak vizsgálata gyógyszer okozta állcsontnekrózisban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gyógyszer okozta állcsontnekrózis (MRONJ, medication – related osteonecrosis of the jaw) egy progresszív, rossz gyógyulási hajlamot mutató, gyakran kiújuló megbetegedés, mely osteoporosis és onkológiai kezelés esetén alkalmazott antireszorptív terápia mellékhatásaként alakul ki. Az antireszorptív terápiában részesülő betegek 0,5-16%-ánál jelentkezik, emiatt felmerül a genetikai prediszpozíció lehetősége.</w:t>
      </w:r>
    </w:p>
    <w:p>
      <w:pPr>
        <w:widowControl w:val="on"/>
        <w:pBdr/>
        <w:spacing w:before="240" w:after="240" w:line="240" w:lineRule="auto"/>
        <w:ind w:left="0" w:right="0"/>
        <w:jc w:val="left"/>
      </w:pPr>
      <w:r>
        <w:rPr>
          <w:color w:val="000000"/>
          <w:sz w:val="24"/>
          <w:szCs w:val="24"/>
        </w:rPr>
        <w:t xml:space="preserve">Vizsgálatunkban az IL-1A és B adott single nucleotid polimorfizmusainak (SNP) (rs1143634 - IL-1B+3954 és rs1800587 - IL-1A-889) szerepét vizsgáltuk MRONJ kialakulásában és prognózisában.</w:t>
      </w:r>
    </w:p>
    <w:p>
      <w:pPr>
        <w:widowControl w:val="on"/>
        <w:pBdr/>
        <w:spacing w:before="240" w:after="240" w:line="240" w:lineRule="auto"/>
        <w:ind w:left="0" w:right="0"/>
        <w:jc w:val="left"/>
      </w:pPr>
      <w:r>
        <w:rPr>
          <w:color w:val="000000"/>
          <w:sz w:val="24"/>
          <w:szCs w:val="24"/>
        </w:rPr>
        <w:t xml:space="preserve">Módszerek: Mintavételeinket betegcsoportban és kontrollcsoportban végeztük. Mintavételeink során nyálkahártyáról DentiGen Parodontitis Teszttel hámsejtkaparékot vettünk. A minták feldolgozására az Istenhegyi Géndiagnosztikai Centrumban került sor DNS hibridizációs technikával.</w:t>
      </w:r>
    </w:p>
    <w:p>
      <w:pPr>
        <w:widowControl w:val="on"/>
        <w:pBdr/>
        <w:spacing w:before="240" w:after="240" w:line="240" w:lineRule="auto"/>
        <w:ind w:left="0" w:right="0"/>
        <w:jc w:val="left"/>
      </w:pPr>
      <w:r>
        <w:rPr>
          <w:color w:val="000000"/>
          <w:sz w:val="24"/>
          <w:szCs w:val="24"/>
        </w:rPr>
        <w:t xml:space="preserve">A megbetegedés kialakulását a betegcsoport és a kontrollcsoport SNP gyakoriságának összevetésével vizsgáltuk. A betegség prognózisát az American Association of Oral and Maxillofacial Surgeons 2022-es ajánlásnak megfelelően értékeltük a stádiumjavulás, a gyógyulás és az azt követő recidívák alapján. A statisztikai elemzéseket SPSS Statistics 22.0 és Microsoft Excel programok segítségével végeztük.</w:t>
      </w:r>
    </w:p>
    <w:p>
      <w:pPr>
        <w:widowControl w:val="on"/>
        <w:pBdr/>
        <w:spacing w:before="240" w:after="240" w:line="240" w:lineRule="auto"/>
        <w:ind w:left="0" w:right="0"/>
        <w:jc w:val="left"/>
      </w:pPr>
      <w:r>
        <w:rPr>
          <w:color w:val="000000"/>
          <w:sz w:val="24"/>
          <w:szCs w:val="24"/>
        </w:rPr>
        <w:t xml:space="preserve">Eredmények: Betegcsoportunkban 91 beteg, kontrollcsoportunkban 59 páciens vizsgálatát végeztük el. A betegek között 51 (56,04%), a kontrollcsoportban pedig 37 (62,71%) páciensnél mutattunk ki kedvezőtlen allélvariánst. Nem találtunk összefüggést (p=0,52) a vizsgált polimorfizmusok és a MRONJ kialakulása között. Betegcsoportunkban 79 esetben alkalmaztunk sebészi terápiát. Ezen betegeink között 78 (98,73%) esetben figyeltünk meg stádiumjavulást, 67 (88,15%) főnél gyógyulást, míg 33 (49,25%) esetben recidivált a megbetegedés. A sebészi terápián átesett betegeinknél 49 esetben volt kimutatható kedvezőtlen SNP. A kedvezőtlen polimorfizmusok előfordulása a stádiumjavulással (p=0,800) és a gyógyulással (0,990) nem mutatott összefüggést. A kedvezőtlen allélvariánsok előfordulása és a recidívák száma között szignifikáns összefüggést (p=0,000) találtunk.</w:t>
      </w:r>
    </w:p>
    <w:p>
      <w:pPr>
        <w:widowControl w:val="on"/>
        <w:pBdr/>
        <w:spacing w:before="240" w:after="240" w:line="240" w:lineRule="auto"/>
        <w:ind w:left="0" w:right="0"/>
        <w:jc w:val="left"/>
      </w:pPr>
      <w:r>
        <w:rPr>
          <w:color w:val="000000"/>
          <w:sz w:val="24"/>
          <w:szCs w:val="24"/>
        </w:rPr>
        <w:t xml:space="preserve">Megbeszélés: A megbetegedés kialakulása és az Interleukin 1 polimorfizmusok között nem találtunk összefüggést. A kórkép prógnózisa és a recidívák száma között szignifikáns összefüggést mutatkozott.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40154">
    <w:multiLevelType w:val="hybridMultilevel"/>
    <w:lvl w:ilvl="0" w:tplc="14617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40154">
    <w:abstractNumId w:val="271401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003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