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KASZNÁR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mesi0301@gmail.com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Müller Katalin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Heim Pál Országos Gyermekgyógyászati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IBD-U klinikai jellemzői gyermekkorban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IBD-U (inflammatory bowel disease-unclassified) a gyulladásos bélbetegség azon formája, mely esetében a rendelkezésre álló klinikai adatok alapján a Crohn-betegség (CD) és a colitis ulcerosa (UC) nem különíthető el. Az IBD-U gyakoribb gyermekkorban és igen kevés adat található az irodalomban klinikai megjelenéséről, betegség lefolyásáról.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Vizsgálatunk célja az IBD-U-s gyermekek klinikai jellegzetességeinek és betegség kimenetelének elemzése a Magyar Gyermekkori Gyulladásos Bélbetegségek Regisztere (HUPIR) alapján.</w:t>
      </w:r>
      <w:r>
        <w:rPr>
          <w:color w:val="000000"/>
          <w:sz w:val="24"/>
          <w:szCs w:val="24"/>
        </w:rPr>
        <w:br/>
        <w:t xml:space="preserve">Módszer:</w:t>
      </w:r>
      <w:r>
        <w:rPr>
          <w:color w:val="000000"/>
          <w:sz w:val="24"/>
          <w:szCs w:val="24"/>
        </w:rPr>
        <w:br/>
        <w:t xml:space="preserve">Vizsgálatomhoz a prospektív, országos lefedettségű HUPIR adatbázist használtam, melybe a 18 év alatti, frissen diagnosztizált betegeket regisztrálják a kezelőorvosok. A betegekről évente követéses adatlap is kitöltésre kerül.</w:t>
      </w:r>
      <w:r>
        <w:rPr>
          <w:color w:val="000000"/>
          <w:sz w:val="24"/>
          <w:szCs w:val="24"/>
        </w:rPr>
        <w:br/>
        <w:t xml:space="preserve">Kutatásom során kiválogattam a regiszterből a 2010-2021 közötti IBD-U-s eseteket, majd a Portói kritériumok alapján validáltam ezeket. Ezt követően összehasonlítottam az IBD-U, a vastagbél érintettségű CD és az UC csoport klinikai (induló tünetek, laboratóriumi paraméterek) és demográfiai jellegzetességeit (életkor, nem).</w:t>
      </w:r>
      <w:r>
        <w:rPr>
          <w:color w:val="000000"/>
          <w:sz w:val="24"/>
          <w:szCs w:val="24"/>
        </w:rPr>
        <w:br/>
        <w:t xml:space="preserve">A statisztikai feldolgozás során a kategorikus változók esetén Chi-négyzet tesztet alkalmaztunk, a folyamatos változókat Mann–Whitney-próbával vizsgáltuk. Szignifikánsnak a p&lt;0,05 értéket tekintettünk. A statisztikai elemzéseket a IBM SPSS Statistics 25 szoftverrel végeztük.</w:t>
      </w:r>
      <w:r>
        <w:rPr>
          <w:color w:val="000000"/>
          <w:sz w:val="24"/>
          <w:szCs w:val="24"/>
        </w:rPr>
        <w:br/>
        <w:t xml:space="preserve">Eredmény:</w:t>
      </w:r>
      <w:r>
        <w:rPr>
          <w:color w:val="000000"/>
          <w:sz w:val="24"/>
          <w:szCs w:val="24"/>
        </w:rPr>
        <w:br/>
        <w:t xml:space="preserve">Összesen 1068 beteget: 226 vastagbél érintettségű CD-st, 723 UC-st és 119 IBD-U-st vizsgáltunk. Nemek szerinti megoszlásban nem volt érdemi különbség (fiúk aránya CD: 52,7%, UC: 72,1%, IBD-U: 54,6%). Az átlagéletkor IBD-U-ban szignifikánsan alacsonyabb volt (CD: 13 év, UC: 12,9 év, IBD-U 11,9 év, CD vs. IBD-U p=0,015; UC vs IBD-U p=0,008). A vizsgált tünetek közül szignifikáns különbséget találtunk fogyásnál (CD vs IBD-U: 60,9% vs 41,9%, p=0,002; UC vs CD: 41,6% vs 41,9%, p&lt;0,001) és véres székletnél (UC vs IBD-U: 89,2% vs 72,3%, p&lt;0,001; CD vs IBD-U: 53,5% vs 72,3%, p=0,002). A követés során a 119 IBD-U beteg közül 26-nak (21,8%) változott a diagnózisa: 13 (10,9%) beteg végső diagnózisa CD, és 13 beteg (10,9%) esetében UC lett.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Vastagbél érintettség esetén a fogyás és a véres széklet hiánya CD diagnózisát valószínűsíti, UC-vel és IBD-U-val szemben. A betegek ötödének változott a diagnózisa követés során, ami felhívja a figyelmet arra, hogy IBD-U esetén fontos az ismételt endoszkópia.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98079">
    <w:multiLevelType w:val="hybridMultilevel"/>
    <w:lvl w:ilvl="0" w:tplc="30843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98079">
    <w:abstractNumId w:val="40198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495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