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KISS LAURA</w:t>
            </w:r>
          </w:p>
          <w:p w:rsidR="00C275A3" w:rsidRDefault="00186641" w:rsidP="00C275A3">
            <w:pPr>
              <w:pStyle w:val="Hallgatokepzes"/>
            </w:pPr>
            <w:r w:rsidRPr="002361E2">
              <w:rPr>
                <w:i/>
              </w:rPr>
              <w:t>kisslauri@gmail.com</w:t>
            </w:r>
            <w:r w:rsidRPr="002361E2">
              <w:rPr>
                <w:i/>
              </w:rPr>
              <w:br/>
            </w:r>
            <w:r w:rsidR="00A96AEC">
              <w:t>általános orvos</w:t>
            </w:r>
            <w:r w:rsidR="00A96AEC">
              <w:br/>
            </w:r>
            <w:r w:rsidR="00E77B23">
              <w:t>Osztatlan, 12.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Bödör Csaba</w:t>
            </w:r>
          </w:p>
          <w:p w:rsidR="00DB4822" w:rsidRDefault="00DB4822" w:rsidP="009763E0">
            <w:pPr>
              <w:pStyle w:val="Konzulensektitulus"/>
            </w:pPr>
            <w:r w:rsidRPr="00DB4822">
              <w:t>egyetemi tanár, SE ÁOK</w:t>
            </w:r>
          </w:p>
        </w:tc>
      </w:tr>
      <w:tr w:rsidR="00DB4822" w:rsidTr="00DB4822">
        <w:tc>
          <w:tcPr>
            <w:tcW w:w="9854" w:type="dxa"/>
          </w:tcPr>
          <w:p w:rsidR="00DB4822" w:rsidRPr="00DB4822" w:rsidRDefault="00DB4822" w:rsidP="009763E0">
            <w:pPr>
              <w:pStyle w:val="Konzulenseknev"/>
            </w:pPr>
            <w:r w:rsidRPr="00DB4822">
              <w:t>Dr. Nagy Ákos</w:t>
            </w:r>
          </w:p>
          <w:p w:rsidR="00DB4822" w:rsidRDefault="00DB4822" w:rsidP="009763E0">
            <w:pPr>
              <w:pStyle w:val="Konzulensektitulus"/>
            </w:pPr>
            <w:r w:rsidRPr="00DB4822">
              <w:t>PhD hallgató,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EZH2 mutációk folyadék-biopszia alapú vizsgálatának klinikai jelentősége follikuláris limfómában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 follikuláris limfóma (FL) a leggyakoribb indolens non-Hodgkin limfóma, mely betegséget gyakori relapszusok jellemzik. Bár az FL teljes túlélése meghaladja a 15 évet, az elérhető immunterápiás kezelések ellenére gyógyíthatatlan. Korábbi molekuláris genetikai vizsgálatok az esetek 25%-ában azonosították az EZH2 epigenetikai szabályozó gén funkciónyerő mutációit, melyek az első precíziós onkológiai célpontok ebben az entitásban. Az FL mutációs profilja térben és időben változhat, mely felveti egy hatékony molekuláris követési rendszer szükségességét. Ennek egy vizsgálómódszere a folyadék-biopsziás (LB) analízis lehet, mely minimál-invazív eljárásként a plazmában keringő sejtmentes tumor DNS-t vizsgálja. A LB segítségével a valós idejű terápiakövetés mellett a különböző nyirokcsomó régiók molekuláris elváltozásainak egyidejű elemzésére is lehetőség nyílik.</w:t>
      </w:r>
      <w:r>
        <w:rPr>
          <w:color w:val="000000"/>
          <w:sz w:val="24"/>
          <w:szCs w:val="24"/>
        </w:rPr>
        <w:br/>
        <w:t xml:space="preserve">Célkitűzés</w:t>
      </w:r>
      <w:r>
        <w:rPr>
          <w:color w:val="000000"/>
          <w:sz w:val="24"/>
          <w:szCs w:val="24"/>
        </w:rPr>
        <w:br/>
        <w:t xml:space="preserve">Munkánk során célul tűztük ki a LB- és a szövetbiopszia-alapú (TB) EZH2 mutációs státusz meghatározás összehasonlítását. Vizsgáltuk továbbá az EZH2 variáns allélfrekvencia (VAF), az EZH2 mutációs státusz és a klinikai/hisztológiai mutatók közötti összefüggést.</w:t>
      </w:r>
      <w:r>
        <w:rPr>
          <w:color w:val="000000"/>
          <w:sz w:val="24"/>
          <w:szCs w:val="24"/>
        </w:rPr>
        <w:br/>
        <w:t xml:space="preserve">Módszer</w:t>
      </w:r>
      <w:r>
        <w:rPr>
          <w:color w:val="000000"/>
          <w:sz w:val="24"/>
          <w:szCs w:val="24"/>
        </w:rPr>
        <w:br/>
        <w:t xml:space="preserve">Kezelés előtti párosított LB és TB mintákat 117 FL-es betegtől gyűjtöttünk. Az EZH2 mutációs státusz mennyiségi jellemzésére multiplex digitális droplet PCR módszert (Bio-Rad, USA) alkalmaztunk.</w:t>
      </w:r>
      <w:r>
        <w:rPr>
          <w:color w:val="000000"/>
          <w:sz w:val="24"/>
          <w:szCs w:val="24"/>
        </w:rPr>
        <w:br/>
        <w:t xml:space="preserve">Eredmények</w:t>
      </w:r>
      <w:r>
        <w:rPr>
          <w:color w:val="000000"/>
          <w:sz w:val="24"/>
          <w:szCs w:val="24"/>
        </w:rPr>
        <w:br/>
        <w:t xml:space="preserve">A párosított TB- és LB-minták vizsgálatával az EZH2 mutációs gyakoriság 38,4%-nak bizonyult. Az esetek 5,1, illetve 7,7%-ában csak a TB, vagy csak az LB mintából tudtuk kimutatni a mutációt.</w:t>
      </w:r>
      <w:r>
        <w:rPr>
          <w:color w:val="000000"/>
          <w:sz w:val="24"/>
          <w:szCs w:val="24"/>
        </w:rPr>
        <w:br/>
        <w:t xml:space="preserve">A mutáns TB EZH2 státusz döntően a magasabb grádusú, agresszív betegséget jellemezte (Khi-négyzet próba, p=0.04), mely a VAF értékekkel is korrelált (független mintás T-próba, p=0.006). A B tünetek jelenléte gyakrabban társult mutáns EZH2 státusszal (Khi-négyzet próba, p=0.03). Továbbá korrelációt találtunk a LB VAF és a stádium között. Végezetül az EZH2 vad típusú klónok jellemzően gyakrabban infiltrálták a csontvelőt.</w:t>
      </w:r>
      <w:r>
        <w:rPr>
          <w:color w:val="000000"/>
          <w:sz w:val="24"/>
          <w:szCs w:val="24"/>
        </w:rPr>
        <w:br/>
        <w:t xml:space="preserve">Következtetések</w:t>
      </w:r>
      <w:r>
        <w:rPr>
          <w:color w:val="000000"/>
          <w:sz w:val="24"/>
          <w:szCs w:val="24"/>
        </w:rPr>
        <w:br/>
        <w:t xml:space="preserve">A folyadék-biopszia alapú vizsgálat lehetővé teszi az EZH2-mutációk kimutatását olyan FL betegeknél, akiknél az egy régióra korlátozódó szövetbiopsziás vizsgálat nem azonosított rendellenességet. Az általunk megfigyelt, korábbinál magasabb EZH2 mutációs gyakoriság alapján bővülhet azon FL-es betegek csoportja, akik alkalmasak lehetnek EZH2-gátlószerrel történő kezelésre.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82743">
    <w:multiLevelType w:val="hybridMultilevel"/>
    <w:lvl w:ilvl="0" w:tplc="23531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82743">
    <w:abstractNumId w:val="755827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275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