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KLETTNER DÓRA PATRÍCIA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klettnerdora@gmail.com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Piróth Zsolt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főorvos,  Gottsegen György Országos Kardiovaszkuláris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Funkcionálisan nem szignifikáns koronária szűkületek hosszútávú prognózisa revaszkularizáció nélkül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fractional flow reserve (FFR) a revaszkularizációs döntéshozatal arany standardja 0.80-as vágóértékkel, efölött a jelenlegi irányelvek revaszkularizációt nem javasolnak. Vizsgálatunkban a GOKVI-ban 2016. 01. 01. és 2017. 06. 30. között minden FFR-negativitás okán nem revaszkularizált koszorúér (célér, target vessel, TV) szűkület sorsát követtük nyomon.</w:t>
      </w:r>
      <w:r>
        <w:rPr>
          <w:color w:val="000000"/>
          <w:sz w:val="24"/>
          <w:szCs w:val="24"/>
        </w:rPr>
        <w:br/>
        <w:t xml:space="preserve">Vizsgáltuk a rizikófaktorok (nem, kor, hipertónia, diszlipidémia, diabétesz, dohányzás), az éren végzett korábbi (&gt; 6 hó) perkután koronária intervenció (PCI), a beavatkozás indikációja (akut vagy krónikus koronária szindróma, ACS vagy CCS), a szűkület lokalizációja és a mért FFR összefüggését, ill. a fenti paraméterek és a klinikai kimenetel összefüggését; utóbbi esetben vizsgálatunk végpontját a célérrel összefüggő miokardiális infarktus (TVMI) és/vagy revaszkularizáció (TVR) jelentette. Adatainkat a GOKVI adatbázisából és telefonos interjúkból nyertük.</w:t>
      </w:r>
      <w:r>
        <w:rPr>
          <w:color w:val="000000"/>
          <w:sz w:val="24"/>
          <w:szCs w:val="24"/>
        </w:rPr>
        <w:br/>
        <w:t xml:space="preserve">Vizsgálatunkban 447 beteg (285 férfi, 162 nő) 535 lézióját medián 49,7 hónapig követtük nyomon, az utánkövetés az esetek 93,5%-ában volt teljes. Ezen idő alatt 8 FFR progresszió kapcsán elvégzett TVR és 12 TVMI (ill. ennek kapcsán TVR) következett be. További 21 esetben történt a céléren revaszkularizáció FFR mérés nélkül, melyek közül 5 esetben a szűkület morfológiai progressziója ábrázolódott. Azaz közel 4 év alatt 535 lézióból 25 FFR negatív járt végponttal. Multivariancia regresszió analízis alapján szignifikánsan alacsonyabb FFR értéket észleltünk férfiakban (p=0,015) és LAD lokalizációban (p&lt;0,0001). A klinikai kimenetelre szignifikánsan prediktívnek bizonyult az ACS indikáció (p=0,021) és az éren végzett korábbi PCI (p=0,027). Az egyéb általunk vizsgált paraméterek nem bizonyultak az FFR érték vagy a klinikai kimenetel szignifikáns prediktorainak.</w:t>
      </w:r>
      <w:r>
        <w:rPr>
          <w:color w:val="000000"/>
          <w:sz w:val="24"/>
          <w:szCs w:val="24"/>
        </w:rPr>
        <w:br/>
        <w:t xml:space="preserve">Összefoglalva, egy nem válogatott populáció nem revaszkularizált koszorúerein végzett konszekutív FFR mérései alapján elmondható, hogy férfiaknál és LAD lokalizációban a mért FFR szignifikánsan alacsonyabb. Az ACS indikáció miatt vizsgálatra kerülő és a korábban PCI-vel kezelt, aktuálisan funkcionálisan nem szignifikáns szűkülettel terhelt ereken szignifikánsan több klinikai esemény következett be. A nem szignifikáns FFR érték alapján nem revaszkularizált erekkel kapcsolatban kialakuló nem kívánatos klinikai események (TVMI, TVR) gyakorisága mindössze évi 1,1%, azaz FFR méréssel jól kiválaszthatók azon léziók, amelyek prognózisa revaszkularizációval nem javítható.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92395">
    <w:multiLevelType w:val="hybridMultilevel"/>
    <w:lvl w:ilvl="0" w:tplc="27839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92395">
    <w:abstractNumId w:val="279923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018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