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peter.szekely8@gmail.com</w:t>
            </w:r>
            <w:r w:rsidRPr="002361E2">
              <w:rPr>
                <w:i/>
              </w:rPr>
              <w:br/>
            </w:r>
            <w:r w:rsidR="00A96AEC">
              <w:t>Általános orvos 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Takács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Makkos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CDK12 overexpresszió jelentősége az BRCA1/2 mutációt hordozó emlő tumorok PARP gátló szerekkel szembeni rezisztenciájában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poli-ADP ribóz polimeráz (PARP) enzim részt vesz az egyszálú DNS törések hibajavítási folyamataiban. A BRCA1/2 mutáns emlőtumorokban a PARP gátló szerek (PARPi) hatására olyan szintű mutációs rátát érhetünk el, amely sejthalált indukál a DNS hibajavítás elmaradása miatt. A PARPi klinikai alkalmazásával kapcsolatos fő kihívás a rezisztencia kialakulása. A PARPi rezisztenciát összefüggésbe hozták a megnövekedett ciklin dependens kináz 12 (CDK12) expresszióval. A CDK12 számos DNS hibajavításért felelős gén funkcionális transzkripciójának elősegítője, így a CDK12 overexpresszió állhat a PARPi rezisztencia hátterében.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CDK12 overexpresszió szerepének meghatározása a PARPi rezisztenciában.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Két BRCA1/2 mutációt hordozó emlőtumor sejtvonalon (MDA-MB-436 és BT-474) végeztük kísérleteinket. DNS szekvenálási technikával meghatároztuk a sejtvonalakra jellemző CDK12 gén kópiaszámát, majd Western-blot technikával meghatároztuk a CDK12 fehérje expresszióját. Ezt követően vizsgáltuk a sejtek rucaparib PARPi-ra adott válaszát lumineszcens sejt túlélés in vitro modellben, a gátló hatást az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értékkel és a gátlási görbe alatti terület (AUC) méretével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DNS szekvenálással az MDA-MB-436 sejtvonal esetén normál (n=2) CDK12 gén kópiaszámot, míg a BT-474 esetén emelkedett (n=27) kópiaszámot találtuk. Ezzel párhuzamosan Western-blottal CDK12 overexpressziót tapasztaltunk a BT-474 esetén (MDA-MB-436: 1,00±0,13 a.u. vs. BT-474: 1,71±0,08* a.u.; t-test; *p&lt;0,05). Továbbá, a BT-474 vonal csökkent érzékenységet mutatott a rucaparib PARPi hatására az MDA-MB-436 vonalhoz viszonyítva (IC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MDA-MB-436: 52,04 μM vs.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BT-474: 210,00 μM; AUC</w:t>
      </w:r>
      <w:r>
        <w:rPr>
          <w:color w:val="000000"/>
          <w:position w:val="-4"/>
          <w:sz w:val="21"/>
          <w:szCs w:val="21"/>
          <w:vertAlign w:val="subscript"/>
        </w:rPr>
        <w:t xml:space="preserve">MDA-MB-436</w:t>
      </w:r>
      <w:r>
        <w:rPr>
          <w:color w:val="000000"/>
          <w:sz w:val="24"/>
          <w:szCs w:val="24"/>
        </w:rPr>
        <w:t xml:space="preserve">: 269 a.u. vs. AUC</w:t>
      </w:r>
      <w:r>
        <w:rPr>
          <w:color w:val="000000"/>
          <w:position w:val="-4"/>
          <w:sz w:val="21"/>
          <w:szCs w:val="21"/>
          <w:vertAlign w:val="subscript"/>
        </w:rPr>
        <w:t xml:space="preserve">BT-474</w:t>
      </w:r>
      <w:r>
        <w:rPr>
          <w:color w:val="000000"/>
          <w:sz w:val="24"/>
          <w:szCs w:val="24"/>
        </w:rPr>
        <w:t xml:space="preserve">: 328 a.u.).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Eredményeink szerint az magasabb CDK12 génkópiaszámmal és fehérje szinttel rendelkező BT-474 sejtvonal kevésbé érzékeny a rucaparib PARPi-ra. A csökkent PARPi hatékonyság hátterében a CDK12 overexpresszió állhat. További kísérleteinkben a kombinált BSJ-4-116 és rucaparib PARPi kezeléssel elsőként kívánjuk demonstrálni a CDK12 fehérjeszint csökkentő hatóanyag (BSJ-4-116) PARPi érzékenységre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13363">
    <w:multiLevelType w:val="hybridMultilevel"/>
    <w:lvl w:ilvl="0" w:tplc="44699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13363">
    <w:abstractNumId w:val="36513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243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