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HEROVI DOMINIC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dominic@herovi.me</w:t>
            </w:r>
            <w:r w:rsidRPr="002361E2">
              <w:rPr>
                <w:i/>
              </w:rPr>
              <w:br/>
            </w:r>
            <w:r w:rsidR="00A96AEC">
              <w:t>ÁOK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PETRA TIMÁR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timarpetra0201@gmail.com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ÁOK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Bánky Balázs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Fülöp András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Kolorektális karcinómás betegek szelektálása trimodiális prehabilitációra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Kolorektális karcinómás betegek szelektálása trimodiális prehabilitációra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kolorektális karcinóma műtéte magas posztoperatív morbiditással és mortalitással jellemezhető, nagy kockázatú beavatkozás. Ez a kockázat a komorbitiással rendelkező, esékeny betegeknél különösen magas. A trimodális prehabilitáció célja a nagykockázatú betegek felkészítése a műtétre, műtétre alkalmassá tétele.</w:t>
      </w:r>
      <w:r>
        <w:rPr>
          <w:color w:val="000000"/>
          <w:sz w:val="24"/>
          <w:szCs w:val="24"/>
        </w:rPr>
        <w:br/>
        <w:t xml:space="preserve">Célunk annak a feltevésnek a vizsgálata, hogy a Modified 5-Item Frailty Index (mFI-5) alkalmas-e a prehabilitációból profitáló betegek kiválogatására.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Műtétre váró kolorektális karcinómás betegeket prospektív tanulmányban „csupán” táplálási felkészítésre, valamint trimodális (táplálási, fizikális és mentális) prehabilitációra randomizáltunk. Jelen vizsgálatban retrospektíve az „5 elemes frailty score”-t rekonstruáltuk és megvizsgáltuk ennek az érzékenységét a prehabilitációból hasznot húzó betegek kiválasztására.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149 colorectalis carcinomás beteget vizsgáltunk. Alacsony kockázatúnak tekintettük a mFI5 0, vagy 1 score-t adó betegeket, míg magas kockázatúnak a 2-nél magasabb score-t adókat. Bár a 7 és 30 napos össz morbiditás tekintetében a magas mFI5 betegek nagyobb kockázatot mutattak 14% vs 17%, ill. 20% vs 30%, az eltérés nem érte el a szignifikancia szintet. Ezzel szemben a műtétet igénylő, súlyos morbiditás (Clavien-Dindo 3+) esetén mind a 7 napos, mind a 30 napos intervallumban az mFI5 score-ban 1-nél magasabb értéket nem adó betegcsoport szignifikánsan jobban teljesített (1% vs 8,7%, p=0,035, ill. 1% vs 10,9%, p=0,012). Külön vizsgálva a csupán táplálási felkészítésben részesülő betegcsoportot a Frailty Index alapján a morbiditásban nem találtunk differenciálási lehetőséget, ezzel szemben a trimodális prehabilitációban részesülő betegeknél az alacsony és magas fFI5 értéktől függően a 7 és 30 napos CD3+ morbiditásban az eltérés szignifikánsnak mutatkozott.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  <w:r>
        <w:rPr>
          <w:color w:val="000000"/>
          <w:sz w:val="24"/>
          <w:szCs w:val="24"/>
        </w:rPr>
        <w:br/>
        <w:t xml:space="preserve">Az 5 elemes frailty score mint könnyen meghatározható klinikai jellemző szerepet játszhat a kolorektális carcinómás nagy számú betegcsoportból a célzott, vezetett trimodális prehabilitációt igénylő alcsoport kiválogatására, jóllehet önmagában nem alkalmas a precíz betegszelekcióra.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18806">
    <w:multiLevelType w:val="hybridMultilevel"/>
    <w:lvl w:ilvl="0" w:tplc="13028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18806">
    <w:abstractNumId w:val="65418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573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