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BÁLINT KÖVÉR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kover.balint@gmail.com</w:t>
            </w:r>
            <w:r w:rsidRPr="002361E2">
              <w:rPr>
                <w:i/>
              </w:rPr>
              <w:br/>
            </w:r>
            <w:r w:rsidR="00A96AEC">
              <w:t>General medicine</w:t>
            </w:r>
            <w:r w:rsidR="00A96AEC"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University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J. Imre Barabás dr.</w:t>
            </w:r>
          </w:p>
          <w:p w:rsidR="00DB4822" w:rsidRDefault="00DB4822" w:rsidP="009763E0">
            <w:pPr>
              <w:pStyle w:val="Konzulensektitulus"/>
            </w:pPr>
            <w:r w:rsidRPr="00DB4822">
              <w:t>Na 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Na</w:t>
            </w:r>
          </w:p>
          <w:p w:rsidR="00DB4822" w:rsidRDefault="00DB4822" w:rsidP="009763E0">
            <w:pPr>
              <w:pStyle w:val="Konzulensektitulus"/>
            </w:pPr>
            <w:r w:rsidRPr="00DB4822">
              <w:t>Na,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Usability of personalised 3D modells in complex pulmonary atresia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071989">
    <w:multiLevelType w:val="hybridMultilevel"/>
    <w:lvl w:ilvl="0" w:tplc="623462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071989">
    <w:abstractNumId w:val="740719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3109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