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TARI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tarinoemi97@gmail.com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WERBER TOM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tomwerber9@gmail.com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Orvostudományi Kar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Micsik Tamás Szabolcs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neuroblastoma retrospektív digitális patológiai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neuroblastoma (NB) diagnózisában és prognózismeghatározásában több nehezen kvantifikálható elem szerepel (mitosis-karyorrhexis index – MKI, a differenciálódó sejtek aránya). A digitális patológia segíthet ezen elemek pontos meghatározásában és a rizikóstratifikáció pontosításában.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Fő célkitűzésünk a NB digitális patológiai vizsgálati lehetőségeinek elemzése, a MKI, a tumorok differenciáltsági foka és a Ki-67 proliferációs index digitális validálása és ezek prognosztikai jelentőségének vizsgálata volt.</w:t>
      </w:r>
      <w:r>
        <w:rPr>
          <w:color w:val="000000"/>
          <w:sz w:val="24"/>
          <w:szCs w:val="24"/>
        </w:rPr>
        <w:br/>
        <w:t xml:space="preserve">Módszer:</w:t>
      </w:r>
      <w:r>
        <w:rPr>
          <w:color w:val="000000"/>
          <w:sz w:val="24"/>
          <w:szCs w:val="24"/>
        </w:rPr>
        <w:br/>
        <w:t xml:space="preserve">A SE I.sz. Patológiai és Kísérleti Rákkutató Intézet archívumából 41 eset HE és Ki-67 festett metszeteit digitalizáltuk Pannoramic 1000 Scannerrel, majd CaseViewer algoritmusokkal végeztünk méréseket: MKI és Ki-67 index digitális meghatározása több területen, sejtek jellemzőinek meghatározása. Méréseinkből és a betegek klinikai adataiból álló adatbázisunkon statisztikai elemzéseket végeztünk korrelációanalízissel, t-próbákkal, Khi-négyzet tesztekkel és a sejtméret eloszlásának grafikus megjelenítésével.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átlagéletkor 25,54±38,39 hónap volt enyhe férfi túlsúllyal (23:18). 5 differenciálatlan, 28 rosszul differenciált és 7 differenciálódó NB szerepelt adatbázisunkban. Az 5 éves túlélés 80%, a betegségmentes túlélés 65% volt. A manuálisan és digitálisan meghatározott MKI jó korrelációt (r=0,7771, p&lt;0,05) mutatott és összefüggött a prognózissal. A leletben szereplő és digitálisan kétféle módon meghatározott Ki-67 értékek jól korreláltak (r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=0,6251, r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=0,5560, r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=0,9143, p</w:t>
      </w:r>
      <w:r>
        <w:rPr>
          <w:color w:val="000000"/>
          <w:position w:val="-4"/>
          <w:sz w:val="21"/>
          <w:szCs w:val="21"/>
          <w:vertAlign w:val="subscript"/>
        </w:rPr>
        <w:t xml:space="preserve">1,2,3</w:t>
      </w:r>
      <w:r>
        <w:rPr>
          <w:color w:val="000000"/>
          <w:sz w:val="24"/>
          <w:szCs w:val="24"/>
        </w:rPr>
        <w:t xml:space="preserve">&lt;0,05), de nem minden esetben mutattak szignifikáns összefüggést a prognózissal. A különböző differenciációjú sejtek jellemzői eltértek egymástól, de ez statisztikailag nem mindenhol bizonyult szignifikánsnak. A MKI kiküszöbölésével megalkotott mérőszámunk, a NB Digitális Patológiai Index (NDPI) a Children’s Oncology Group szerinti nem magas rizikójú NB esetén 94%-os, a magas rizikójú NB esetén 88%-os találati aránnyal sorolta be a tumorokat a prognosztikai csoportokba.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Adataink az irodalmi adatoknak megfeleltek, de azok alapján az ismert faktorok mellett a Ki-67 index is segíthet a prognózisbecslésben. Prognosztikai értéke önmagában azoktól elmarad, de egyéb adatokkal kombinálva a NDPI részeként jól használható rizikóstratifikációra MKI meghatározása nélkül is. A klasszifikációs pontosság biztató, a modell további validálását tervezzük.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49183">
    <w:multiLevelType w:val="hybridMultilevel"/>
    <w:lvl w:ilvl="0" w:tplc="70272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49183">
    <w:abstractNumId w:val="56149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137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