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ARNÓTH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arnoth.bence@gmail.com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SZAKÁL IMRE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imi.szakal@gmail.com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Klaudia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Patrik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Kamrai tachycardia abláción átesett betegek egyéves összmortalitásának predikciója gépi tanulás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különböző ritmuszavarok kezelésében alkalmazott katéteres abláció számos esetben kedvezően befolyásolja a rövid és hosszú távú kimenetelt. Azonban a monomorf kamrai tachycardia (VT) miatti abláción átesett betegek körében továbbra is magas halálozási ráta figyelhető meg. Ezen betegek gépi tanulás alapú rizikóstratifikációja lehetővé tenné az</w:t>
      </w:r>
      <w:r>
        <w:rPr>
          <w:color w:val="000000"/>
          <w:sz w:val="24"/>
          <w:szCs w:val="24"/>
        </w:rPr>
        <w:br/>
        <w:t xml:space="preserve">utánkövetés optimalizálását, mely hozzájárulhat a mortalitás csökkentéséhez.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Célunk egy olyan gépi tanulás alapú rizikóbecslő rendszer létrehozása volt, mely</w:t>
      </w:r>
      <w:r>
        <w:rPr>
          <w:color w:val="000000"/>
          <w:sz w:val="24"/>
          <w:szCs w:val="24"/>
        </w:rPr>
        <w:br/>
        <w:t xml:space="preserve">a VT abláción áteső betegekben megbízhatóan prediktálja az 1 éves összmortalitást.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Vizsgálatunkba 272 beteget vontunk be, akik 2005-19 között tartós monomorf VT abláción estek át a Városmajori Szív- és Érgyógyászati Klinikán. A betegek demográfiai,anamnesztikus és ablációs adatait, illetve az ablációt megelőző echokardiográfiás és labor vizsgálatok leleteit retrospektíven dolgoztuk fel. Ezen adatokat bementi változóként felhasználva különféle felügyelt gépi tanulási modelleket tanítottunk és értékeltünk 5-szörös keresztvalidációval. Az egyes modellek teljesítményét a ROC göbe alatti területtel (AUC) számszerűsítettük. Végezetül a legjobb</w:t>
      </w:r>
      <w:r>
        <w:rPr>
          <w:color w:val="000000"/>
          <w:sz w:val="24"/>
          <w:szCs w:val="24"/>
        </w:rPr>
        <w:br/>
        <w:t xml:space="preserve">teljesítményt nyújtó modellünkkel számított Shapley-értékek alapján meghatároztuk az összmortalitás legfontosabb prediktorait.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vizsgált betegcsoportban 59 (22%) beteg hunyt el az 1 éves utánkövetési idõszak alatt. Az általunk</w:t>
      </w:r>
      <w:r>
        <w:rPr>
          <w:color w:val="000000"/>
          <w:sz w:val="24"/>
          <w:szCs w:val="24"/>
        </w:rPr>
        <w:br/>
        <w:t xml:space="preserve">tanított és értékelt gépi tanulási modellek közül a random forest prediktálta a legnagyobb hatékonysággal az 1 éves összmortalitást [AUC: 0,73 (0,68-0,78)]. Továbbá ez a modell szignifikánsabb jobb teljesítményt mutatott a hagyományos</w:t>
      </w:r>
      <w:r>
        <w:rPr>
          <w:color w:val="000000"/>
          <w:sz w:val="24"/>
          <w:szCs w:val="24"/>
        </w:rPr>
        <w:br/>
        <w:t xml:space="preserve">statisztikán alapuló I-VT [AUC: 0,63 (0,55-0,70) vs. 0,73 (0,68-0,78), p&lt;0,001] és PAINESD [AUC: 0,63 (0,55-0,71) vs. 0,73 (0,68-0,78), p=0,009] rizikóbecslõ pontrendszerekhez képest. Az összmortalitás legfontosabb prediktorai az E hullám decelerációs idő, a kardiális reszinkronizációs terápia, az életkor, az elektromos vihar és halmozott implantálható kardioverter-defibrillátor terápia, illetve a hemoglobin koncentráció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általunk létrehozott gépi tanulás alapú rizikóbecslő rendszer nagy pontosággal prediktálta a VT abláción átesett betegek 1 éves összmortalitását. Így a rendszerünk lehetővé teszi a szorosabb kontrollt igénylő, magasabb rizikójú páciensek azonosítását, ami hozzájárulhat a mortalitás csökkentéséhez.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55135">
    <w:multiLevelType w:val="hybridMultilevel"/>
    <w:lvl w:ilvl="0" w:tplc="32855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55135">
    <w:abstractNumId w:val="120551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3623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