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FARKAS-SÜTŐ KRISTÓF ATTILA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fskristof22@gmail.com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Szűcs Andrea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Márton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Szív MR és Echocardiographiás modalitások összevetése a bal kamrai noncompactatio utánkövetésében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csúcsi hypertrabecularizációval járó bal kamrai noncompactatio (LVNC) esetén elengedhetetlen a páciensek utánkövetése, melyhez különböző képalkotó modalitásokat használhatunk. Nem eldöntött tény azonban, hogy a szív MR (CMR) és a szív ultrahang közül melyik vizsgálómódszer az optimális. A modalitások összehasonlítása kapcsán egy kórképen belül már számos tanulmány született, nyitott kérdés azonban, hogy milyen a különböző módszerekkel mért eredmények egymáshoz való viszonya két csoporton vizsgálva.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Célul tűztük ki, hogy összehasonlítsuk a CMR, a 2D, valamint 3D echocardiographia (2D Echo, 3D Echo) hatékonyságát egy LVNC és egy egészséges populációban.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Városmajori Szív- és Érgyógyászati Klinikán végzett kutatásunkban 38 komorbiditástól mentes, jó ejekciós frakciójú (EF&gt;50%) LVNC beteg (25 férfi; átlagéletkor: 36±13 év) CMR valamint 2D és 3D Echo vizsgálatát hasonlítottuk össze egy korban és nemben illesztett 34 fős egészséges populációval (19 férfi; átlagéletkor 31±14 év). Mindkét csoportban megvizsgáltuk a 2D Echo vs. 3D Echo, a 2D Echo vs. CMR és a 3D Echo vs. CMR korrelációját és egyezését. A felvételek kiértékelésére Medis Suite és TOMTEC szoftvereket használtunk. A statisztikai analízist Python és SPSS programokkal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egészséges populáció volumen értékei jó korrelációt és egyezést mutattak mindhárom modalitáspár között. Ezzel szemben az LVNC csoportban elfogadható korreláció mellett kevesebb volumetriás paraméter egyezett (2D Echo vs. 3D Echo EDV C: r: 0,73, p&lt; 0,001; A: PE: 28,9%, p&lt;0,04, 2D Echo vs. CMR SV C: r: 0,55, p&lt; 0,01; A: PE: 29,7%, p &lt;0,01, 3D Echo vs. CMR SV C: r: 0,75, p&lt; 0,01; A: PE: 25,5%, p &lt;0,01).</w:t>
      </w:r>
      <w:r>
        <w:rPr>
          <w:color w:val="000000"/>
          <w:sz w:val="24"/>
          <w:szCs w:val="24"/>
        </w:rPr>
        <w:br/>
        <w:t xml:space="preserve">A funkcionális paraméterek tekintetében az egészséges populációban mind az EF, mind a strainek értékei egyeztek. Ezzel szemben az LVNC csoportban csak az EF kapcsán találtunk egyezést, míg a globális strainek csak sporadikus egyezést mutattak (2D Echo vs. 3D Echo C: r: 0,05, p&lt; 0,79; A: PE: 14,7%, p&lt;0,29; 2D Echo vs. CMR C: r: 0,06, p&lt; 0,7; A: PE: 27,2%, p &lt;0,01; 3D Echo vs. CMR C: r: 0,23, p&lt; 0,19; A: PE: 25%, p &lt;0,01).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Fenti eredményeink alapján a hypertrabekularizáció nehezítheti a felvételek értékelhetőségét, így az optimális utánkövetési modalitás meghatározásához további vizsgálatok szükségesek.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914097">
    <w:multiLevelType w:val="hybridMultilevel"/>
    <w:lvl w:ilvl="0" w:tplc="59943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914097">
    <w:abstractNumId w:val="3991409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36044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