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DOMBRÁDY ZSOLT ÖRS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dombradyzs.oers@gmail.com</w:t>
            </w:r>
            <w:r w:rsidRPr="002361E2">
              <w:rPr>
                <w:i/>
              </w:rPr>
              <w:br/>
            </w:r>
            <w:r w:rsidR="00A96AEC">
              <w:t>Általános orvostudományi kar 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MARTIN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martinnagy2010@gmail.com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Jermendy Ádám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Vecsey-Nagy Milán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 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járvány hatása a coronaria CT angiographia vizsgálatok kivitelezésére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Semmelweis Egyetem Városmajori Szív- és Érgyógyászati Klinikáján a COVID-19 járvány hazai kezdetekor a betegbiztonság fokozása érdekében megváltoztattuk a coronaria CT angiographia (CCTA) vizsgálatokat megelőző premedikációs stratégiát.</w:t>
      </w:r>
      <w:r>
        <w:rPr>
          <w:color w:val="000000"/>
          <w:sz w:val="24"/>
          <w:szCs w:val="24"/>
        </w:rPr>
        <w:br/>
        <w:t xml:space="preserve">Célkitűzés: Vizsgálatunk célja annak megállapítása, hogy van-e kimutatható különbség a CCTA vizsgálatok során kapott képminőségben a premedikáció megváltoztatását követően a standard protokollhoz képest.</w:t>
      </w:r>
      <w:r>
        <w:rPr>
          <w:color w:val="000000"/>
          <w:sz w:val="24"/>
          <w:szCs w:val="24"/>
        </w:rPr>
        <w:br/>
        <w:t xml:space="preserve">Módszer: Retrospektív tanulmányunkban elemeztük a módosított premedikációs stratégia bevezetésének időpontja (2020.03.15.) előtti és utáni egy évben elvégzett konszekutív CCTA-vizsgálatok eredményeit. A pandémia előtt alkalmazott standard, kombinált oralis és intravénás premedikációhoz képest a módosított protokoll kizárólag intravénás pulzuscsökkentő kezelést tartalmazott. A vizsgálat első évében összesen 1511 felnőtt páciens (életkor: 58.1±12.3nők: 45,0%), a második évben 1064 beteg (életkor 57.7±12.2.nők: 41,4%) adatait elemeztük. Külön értékeltük az intézetünkben található eltérő tulajdonságokkal bíró CT-berendezésekkel készített felvételeket (256-szeletes Philips Brilliance iCT [iCT]; 560-szeletes GE CardioGraphe [CG]). A képminőséget a CT-felvételek leletezése során 4-pontos skálán rögzítettük.</w:t>
      </w:r>
      <w:r>
        <w:rPr>
          <w:color w:val="000000"/>
          <w:sz w:val="24"/>
          <w:szCs w:val="24"/>
        </w:rPr>
        <w:br/>
        <w:t xml:space="preserve">Eredmények: Az első és a második év adatai alapján az átlagos vizsgálati szívfrekvenciában szignifikáns eltérés mutatkozott mindkét berendezés esetén (iCT: 4,6%-os növekedés, p&lt;0,001; CG: 5,3%-os növekedés, p&lt;0,001). Az iCT esetén a kiváló és jó képminőségű, valamint a közepes és nem diagnosztikus képminőségű felvételek arányában szignifikáns eltérés mutatkozott (változás: 80,9%-ról 69,1%-ra, illetve 19,1%-ról 30,9%-ra, p&lt;0,001), míg a CG esetén nem volt kimutatható különbség (változás: 87,7%-ról 86,0%-ra, valamint 12,3%-ról 14,0%-ra, p=0,38).</w:t>
      </w:r>
      <w:r>
        <w:rPr>
          <w:color w:val="000000"/>
          <w:sz w:val="24"/>
          <w:szCs w:val="24"/>
        </w:rPr>
        <w:br/>
        <w:t xml:space="preserve">Következtetések: Vizsgálatunk eredményei arra utalnak, hogy a legmodernebb, sokszeletes CT-berendezések használata során az intravénás premedikáció önmagában elégséges lehet a klinikailag diagnosztikus képminőség eléréséhez, ezáltal a betegek vizsgálati ideje lerövidíthető.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88652">
    <w:multiLevelType w:val="hybridMultilevel"/>
    <w:lvl w:ilvl="0" w:tplc="69414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88652">
    <w:abstractNumId w:val="22488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245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