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BAKSA BARNABÁS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barnabasbaksa@gmail.com</w:t>
            </w:r>
            <w:r w:rsidRPr="002361E2">
              <w:rPr>
                <w:i/>
              </w:rPr>
              <w:br/>
            </w:r>
            <w:r w:rsidR="00A96AEC">
              <w:t>ÁOK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Jorgo Kliton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Országos Onkológiai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Mérsékelt hipofrakcionálás szimultán integrált boost technikával a prosztatarák külső sugárkezelésében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Mérsékelt hipofrakcionálás szimultán integrált boost technikával a prosztatarák külső sugárkezelésében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prosztatarák sugárbiológiai tulajdonságai miatt (α/β~1,5-3) a hipofrakcionálás</w:t>
      </w:r>
      <w:r>
        <w:rPr>
          <w:color w:val="000000"/>
          <w:sz w:val="24"/>
          <w:szCs w:val="24"/>
        </w:rPr>
        <w:br/>
        <w:t xml:space="preserve">alkalmazása előnyös. Nagy kockázatú betegeknél az okkult kismedencei nyirokcsomó áttétek</w:t>
      </w:r>
      <w:r>
        <w:rPr>
          <w:color w:val="000000"/>
          <w:sz w:val="24"/>
          <w:szCs w:val="24"/>
        </w:rPr>
        <w:br/>
        <w:t xml:space="preserve">valószínűsége 20% feletti, ezért a lokorégionális besugárzás pozitív hatással lehet a</w:t>
      </w:r>
      <w:r>
        <w:rPr>
          <w:color w:val="000000"/>
          <w:sz w:val="24"/>
          <w:szCs w:val="24"/>
        </w:rPr>
        <w:br/>
        <w:t xml:space="preserve">daganatmentességre. A vékony- és vastagbelek közelsége miatt a kismedence csak</w:t>
      </w:r>
      <w:r>
        <w:rPr>
          <w:color w:val="000000"/>
          <w:sz w:val="24"/>
          <w:szCs w:val="24"/>
        </w:rPr>
        <w:br/>
        <w:t xml:space="preserve">konvencionális frakciónálással látható el (1,8-2Gy/nap), a dülmirigyre hipofrakcionálás</w:t>
      </w:r>
      <w:r>
        <w:rPr>
          <w:color w:val="000000"/>
          <w:sz w:val="24"/>
          <w:szCs w:val="24"/>
        </w:rPr>
        <w:br/>
        <w:t xml:space="preserve">biztonsággal végezhető.</w:t>
      </w:r>
      <w:r>
        <w:rPr>
          <w:color w:val="000000"/>
          <w:sz w:val="24"/>
          <w:szCs w:val="24"/>
        </w:rPr>
        <w:br/>
        <w:t xml:space="preserve">Célkitűzések: Prospektív vizsgálatunk célja a prosztatarák definitív terápiájaként alkalmazott</w:t>
      </w:r>
      <w:r>
        <w:rPr>
          <w:color w:val="000000"/>
          <w:sz w:val="24"/>
          <w:szCs w:val="24"/>
        </w:rPr>
        <w:br/>
        <w:t xml:space="preserve">mérsékelten hipofrakcionált (mHF), intenzitásmodulált külső sugárkezelés (IMRT) klinikai</w:t>
      </w:r>
      <w:r>
        <w:rPr>
          <w:color w:val="000000"/>
          <w:sz w:val="24"/>
          <w:szCs w:val="24"/>
        </w:rPr>
        <w:br/>
        <w:t xml:space="preserve">eredményeinek elemzése, illetve a szimultán integrált boost (SIB) technikával végzett</w:t>
      </w:r>
      <w:r>
        <w:rPr>
          <w:color w:val="000000"/>
          <w:sz w:val="24"/>
          <w:szCs w:val="24"/>
        </w:rPr>
        <w:br/>
        <w:t xml:space="preserve">sugárkezelés késői radiogén urogenitális (UG) és gasztrointesztinális (GI) mellékhatások</w:t>
      </w:r>
      <w:r>
        <w:rPr>
          <w:color w:val="000000"/>
          <w:sz w:val="24"/>
          <w:szCs w:val="24"/>
        </w:rPr>
        <w:br/>
        <w:t xml:space="preserve">vizsgálata.</w:t>
      </w:r>
      <w:r>
        <w:rPr>
          <w:color w:val="000000"/>
          <w:sz w:val="24"/>
          <w:szCs w:val="24"/>
        </w:rPr>
        <w:br/>
        <w:t xml:space="preserve">Módszerek: 2015 és 2017 között 155 közepes és nagy kockázatú prosztatarákos beteget</w:t>
      </w:r>
      <w:r>
        <w:rPr>
          <w:color w:val="000000"/>
          <w:sz w:val="24"/>
          <w:szCs w:val="24"/>
        </w:rPr>
        <w:br/>
        <w:t xml:space="preserve">kezeltünk. A besugárzáshoz kúpsugaras CT-t vagy arany markeres képvezérlést, IMRT-t és</w:t>
      </w:r>
      <w:r>
        <w:rPr>
          <w:color w:val="000000"/>
          <w:sz w:val="24"/>
          <w:szCs w:val="24"/>
        </w:rPr>
        <w:br/>
        <w:t xml:space="preserve">SIB kezelési sémát használtunk a következő dózisok alkalmazásával: prosztata: 70Gy/2,5Gy</w:t>
      </w:r>
      <w:r>
        <w:rPr>
          <w:color w:val="000000"/>
          <w:sz w:val="24"/>
          <w:szCs w:val="24"/>
        </w:rPr>
        <w:br/>
        <w:t xml:space="preserve">(EQD2=80Gy), prosztata+ondóhólyagok: 70Gy/2,05Gy (EQD2=58Gy), illetve a kismedence:</w:t>
      </w:r>
      <w:r>
        <w:rPr>
          <w:color w:val="000000"/>
          <w:sz w:val="24"/>
          <w:szCs w:val="24"/>
        </w:rPr>
        <w:br/>
        <w:t xml:space="preserve">50,4Gy/1,8Gy (EQD2=50Gy). A kezelés hossza 5 hét és 3 nap volt (28 frakció). A</w:t>
      </w:r>
      <w:r>
        <w:rPr>
          <w:color w:val="000000"/>
          <w:sz w:val="24"/>
          <w:szCs w:val="24"/>
        </w:rPr>
        <w:br/>
        <w:t xml:space="preserve">mellékhatásokat az RTOG/EORTC pontrendszere alapján osztályoztuk.</w:t>
      </w:r>
      <w:r>
        <w:rPr>
          <w:color w:val="000000"/>
          <w:sz w:val="24"/>
          <w:szCs w:val="24"/>
        </w:rPr>
        <w:br/>
        <w:t xml:space="preserve">Eredmények: A medián követési idő 60 hónap volt. A késői grade 3-as UG és GI</w:t>
      </w:r>
      <w:r>
        <w:rPr>
          <w:color w:val="000000"/>
          <w:sz w:val="24"/>
          <w:szCs w:val="24"/>
        </w:rPr>
        <w:br/>
        <w:t xml:space="preserve">mellékhatások gyakorisága 5% és 3% volt. Korai grade 3-as UG és GI mellékhatást 1-1%-ban</w:t>
      </w:r>
      <w:r>
        <w:rPr>
          <w:color w:val="000000"/>
          <w:sz w:val="24"/>
          <w:szCs w:val="24"/>
        </w:rPr>
        <w:br/>
        <w:t xml:space="preserve">észleltünk. Grade 4-es vagy súlyosabb mellékhatás egyik típusból sem fordult elő. A</w:t>
      </w:r>
      <w:r>
        <w:rPr>
          <w:color w:val="000000"/>
          <w:sz w:val="24"/>
          <w:szCs w:val="24"/>
        </w:rPr>
        <w:br/>
        <w:t xml:space="preserve">biokémiai relapszusmentes túlélés és a betegségmentes túlélés 5 évnél, Kaplan-Meier görbe</w:t>
      </w:r>
      <w:r>
        <w:rPr>
          <w:color w:val="000000"/>
          <w:sz w:val="24"/>
          <w:szCs w:val="24"/>
        </w:rPr>
        <w:br/>
        <w:t xml:space="preserve">alapján 88,6% és 91,8% volt. A kismedencei nyirokcsomó régiók besugárzása nem növelte a</w:t>
      </w:r>
      <w:r>
        <w:rPr>
          <w:color w:val="000000"/>
          <w:sz w:val="24"/>
          <w:szCs w:val="24"/>
        </w:rPr>
        <w:br/>
        <w:t xml:space="preserve">radiogén mellékhatások gyakoriságát, súlyosságát (p&gt;0,05). A teljes kezelés hossza összesen</w:t>
      </w:r>
      <w:r>
        <w:rPr>
          <w:color w:val="000000"/>
          <w:sz w:val="24"/>
          <w:szCs w:val="24"/>
        </w:rPr>
        <w:br/>
        <w:t xml:space="preserve">2,5 héttel rövidült a konvencionális frakcionáláshoz képest.</w:t>
      </w:r>
      <w:r>
        <w:rPr>
          <w:color w:val="000000"/>
          <w:sz w:val="24"/>
          <w:szCs w:val="24"/>
        </w:rPr>
        <w:br/>
        <w:t xml:space="preserve">Következtetések: A mérsékelt hipofrakcionálás SIB technikával hosszú távon biztonságos és</w:t>
      </w:r>
      <w:r>
        <w:rPr>
          <w:color w:val="000000"/>
          <w:sz w:val="24"/>
          <w:szCs w:val="24"/>
        </w:rPr>
        <w:br/>
        <w:t xml:space="preserve">kiváló eredményekkel rendelkező kezelési alternatíva prosztatarákos betegek kuratív</w:t>
      </w:r>
      <w:r>
        <w:rPr>
          <w:color w:val="000000"/>
          <w:sz w:val="24"/>
          <w:szCs w:val="24"/>
        </w:rPr>
        <w:br/>
        <w:t xml:space="preserve">kezelésében. A sugárkezelések által kiváltott mellékhatások gyakorisága és súlyossága az</w:t>
      </w:r>
      <w:r>
        <w:rPr>
          <w:color w:val="000000"/>
          <w:sz w:val="24"/>
          <w:szCs w:val="24"/>
        </w:rPr>
        <w:br/>
        <w:t xml:space="preserve">irodalomban fellelhető adatokkal összeegyeztethető.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204797">
    <w:multiLevelType w:val="hybridMultilevel"/>
    <w:lvl w:ilvl="0" w:tplc="96767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204797">
    <w:abstractNumId w:val="302047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7427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