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PERCZE ANNA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perczeanna@gmail.com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Tüdőgyógyászati funkcionális állapot és az alvásminőség összefüggései post-COVID pácienseknél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COVID-19 páciensek jelentős hányada az akut betegséget követően is elhúzódó alvászavarokkal küzd, melyek közül az inszomnia és a cirkadián alvás-ébrenlét ritmuszavarok előfordulása mutatnak különösen magas előfordulást. Az alvászavarok fenntartásában szerepet játszó tényezők nem pontosan tisztázottak.</w:t>
      </w:r>
      <w:r>
        <w:rPr>
          <w:color w:val="000000"/>
          <w:sz w:val="24"/>
          <w:szCs w:val="24"/>
        </w:rPr>
        <w:br/>
        <w:t xml:space="preserve">Célkitűzés: Az alvászavarok hátterében felmerülő okok közül a post-COVID páciensek tüdőgyógyászati funkcionális állapotának szerepét vizsgáltuk.</w:t>
      </w:r>
      <w:r>
        <w:rPr>
          <w:color w:val="000000"/>
          <w:sz w:val="24"/>
          <w:szCs w:val="24"/>
        </w:rPr>
        <w:br/>
        <w:t xml:space="preserve">Módszerek: A Semmelweis Egyetem Pulmonológiai Klinika post-COVID ellátásán a fertőzés elmúlta után 4-8 héttel megjelenő páciensek (n=159) alvási és ébrenléti állapotának vizsgálatára a Pittsburgh Alvásminőség Indexet (PSQI) használtuk. A funkcionális állapot vizsgálata során a panaszok rögzítése, alacsony dózisú CT, spirometria, diffúziós kapacitás, légzőizomerő és oxigén szaturáció mérés, hatperces járásteszt (6MWT) történt.</w:t>
      </w:r>
      <w:r>
        <w:rPr>
          <w:color w:val="000000"/>
          <w:sz w:val="24"/>
          <w:szCs w:val="24"/>
        </w:rPr>
        <w:br/>
        <w:t xml:space="preserve">Eredmények: Az alvászavar a post-COVID időszak 3. leggyakoribb tünete. Kérdőíves felmérés alapján az összes páciens 51%-nál, míg post-COVID szindrómás betegek 62%-nál nem megfelelő alvásminőség igazolódott. A szubjektív alvásminőség romlása és a COVID-19 súlyosságát jellemző paraméterekkel (tüdőérintettség, kórházi ellátás időtartama, terápia típusa) között összefüggést nem találtunk, azonban az alvásminőség és kimerültség mutatói között szoros korrelációt mutattak. A nem megfelelő alvásminőségű (PSQI &gt; 5) post-COVID páciensek panaszosabbak, gyakoribb náluk a fáradtság (74% vs. 54%), a nehézlégzés (54% vs. 36%) és a köhögés (43% vs. 31%), mint a megfelelő alvásminőségű csoport. A megfelelő és nem megfelelő alvásminőségű csoportok között szignifikáns légzésfunkciós és tüdő diffúziós eltérés nem mutatkozott, de az utóbbi csoportban a maximális be-és kilégzési izomerő átlagértékei alacsonyabbak voltak. 6MWT során sem a megtett távolság, sem a vizsgálat során jelentkező SpO2 csökkenés átlagértékei nem tértek el egymástól a két csoport esetében, azonban a 6MWT fizikai terhelésére jelentkező pulzusszám növekedés magasabb volt a nem megfelelő alvásminőségű csoport esetében (38,1 ± 2,3 vs. 29,5 ± 3,1; p &lt; 0,05).</w:t>
      </w:r>
      <w:r>
        <w:rPr>
          <w:color w:val="000000"/>
          <w:sz w:val="24"/>
          <w:szCs w:val="24"/>
        </w:rPr>
        <w:br/>
        <w:t xml:space="preserve">Következtetések: A post-COVID páciensek alvászavaraiban fontos szerepet játszik a betegek tüdőgyógyászati funkcionális érintettsége. Komplex tüdőgyógyászati rehabilitáció a funkcionális állapot mellett a páciensek alvásminőségét is kedvezően befolyásolhatja.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78969">
    <w:multiLevelType w:val="hybridMultilevel"/>
    <w:lvl w:ilvl="0" w:tplc="27711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78969">
    <w:abstractNumId w:val="983789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6341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