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RÉVÉSZ ISTVÁN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istvanrevesz43@gmail.com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Demény Máté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Virág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Stresszgranulum képződést befolyásoló vegyületek azonosítása nagy áteresztőképességű módszerrel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eukarióta sejtszervecskék kevésbé ismert képviselői az ún. membrán nélküli</w:t>
      </w:r>
      <w:r>
        <w:rPr>
          <w:color w:val="000000"/>
          <w:sz w:val="24"/>
          <w:szCs w:val="24"/>
        </w:rPr>
        <w:br/>
        <w:t xml:space="preserve">organellumok, melyeket nem határol lipid kettősmembrán. Ezek RNS-ek és RNS-kötő</w:t>
      </w:r>
      <w:r>
        <w:rPr>
          <w:color w:val="000000"/>
          <w:sz w:val="24"/>
          <w:szCs w:val="24"/>
        </w:rPr>
        <w:br/>
        <w:t xml:space="preserve">fehérjék kondenzátumai, melyek a folyadék-folyadék fáziselkülönülés folyamatában jönnek</w:t>
      </w:r>
      <w:r>
        <w:rPr>
          <w:color w:val="000000"/>
          <w:sz w:val="24"/>
          <w:szCs w:val="24"/>
        </w:rPr>
        <w:br/>
        <w:t xml:space="preserve">létre kiválva a sejtplazma összetevői közül, de megőrízve folyadékszerű viselkedésüket.</w:t>
      </w:r>
      <w:r>
        <w:rPr>
          <w:color w:val="000000"/>
          <w:sz w:val="24"/>
          <w:szCs w:val="24"/>
        </w:rPr>
        <w:br/>
        <w:t xml:space="preserve">Egyik típusuk a stressz granulum (SG), amely az integrált stresszválasz részeként oxidatív,</w:t>
      </w:r>
      <w:r>
        <w:rPr>
          <w:color w:val="000000"/>
          <w:sz w:val="24"/>
          <w:szCs w:val="24"/>
        </w:rPr>
        <w:br/>
        <w:t xml:space="preserve">hő, ER-stressz vagy vírusfertőzés hatására alakul ki a citoszólban. Szerepe a transzláció</w:t>
      </w:r>
      <w:r>
        <w:rPr>
          <w:color w:val="000000"/>
          <w:sz w:val="24"/>
          <w:szCs w:val="24"/>
        </w:rPr>
        <w:br/>
        <w:t xml:space="preserve">gátlása, jelátviteli folyamatok elemeinek kondenzálása vagy szekvesztrálása, mely által</w:t>
      </w:r>
      <w:r>
        <w:rPr>
          <w:color w:val="000000"/>
          <w:sz w:val="24"/>
          <w:szCs w:val="24"/>
        </w:rPr>
        <w:br/>
        <w:t xml:space="preserve">hozzájárul, hogy a sejt túlélje a stresszkörülményeket. Esszenciális összetevőjük a nem</w:t>
      </w:r>
      <w:r>
        <w:rPr>
          <w:color w:val="000000"/>
          <w:sz w:val="24"/>
          <w:szCs w:val="24"/>
        </w:rPr>
        <w:br/>
        <w:t xml:space="preserve">tisztázott funkciójú G3BP1 (Ras-GTPase-activating protein SH3 domain binding) fehérje,</w:t>
      </w:r>
      <w:r>
        <w:rPr>
          <w:color w:val="000000"/>
          <w:sz w:val="24"/>
          <w:szCs w:val="24"/>
        </w:rPr>
        <w:br/>
        <w:t xml:space="preserve">mely az organellum markereként használható. A SG szerepet játszik a szaporodásuk során</w:t>
      </w:r>
      <w:r>
        <w:rPr>
          <w:color w:val="000000"/>
          <w:sz w:val="24"/>
          <w:szCs w:val="24"/>
        </w:rPr>
        <w:br/>
        <w:t xml:space="preserve">folyamatos stresszállapotnak kitett ráksejtek túlélésében, ill. számos neurodegeneratív</w:t>
      </w:r>
      <w:r>
        <w:rPr>
          <w:color w:val="000000"/>
          <w:sz w:val="24"/>
          <w:szCs w:val="24"/>
        </w:rPr>
        <w:br/>
        <w:t xml:space="preserve">betegségben az idegsejtekben kialakuló fehérjeaggregáció gócpontjainak tekintik őket.</w:t>
      </w:r>
      <w:r>
        <w:rPr>
          <w:color w:val="000000"/>
          <w:sz w:val="24"/>
          <w:szCs w:val="24"/>
        </w:rPr>
        <w:br/>
        <w:t xml:space="preserve">Mindezek alapján a SG-ok létrejöttét, működését befolyásoló vegyületeknek terápiás</w:t>
      </w:r>
      <w:r>
        <w:rPr>
          <w:color w:val="000000"/>
          <w:sz w:val="24"/>
          <w:szCs w:val="24"/>
        </w:rPr>
        <w:br/>
        <w:t xml:space="preserve">jelentőségűe lehet. Célunk volt egy olyan sejtmodell létrehozása, melynek segítségével</w:t>
      </w:r>
      <w:r>
        <w:rPr>
          <w:color w:val="000000"/>
          <w:sz w:val="24"/>
          <w:szCs w:val="24"/>
        </w:rPr>
        <w:br/>
        <w:t xml:space="preserve">mikroszkópos vizsgálat és képanalízis révén kiszűrhetők SG-ok összeállását, szétszerelődését</w:t>
      </w:r>
      <w:r>
        <w:rPr>
          <w:color w:val="000000"/>
          <w:sz w:val="24"/>
          <w:szCs w:val="24"/>
        </w:rPr>
        <w:br/>
        <w:t xml:space="preserve">befolyásoló vegyületek, melyek további vizsgálatra érdemesek. Lentivirális transzdukció</w:t>
      </w:r>
      <w:r>
        <w:rPr>
          <w:color w:val="000000"/>
          <w:sz w:val="24"/>
          <w:szCs w:val="24"/>
        </w:rPr>
        <w:br/>
        <w:t xml:space="preserve">révén létrehoztunk egy G3BP1-EGFP fúziós fehérjét stabilan kifejező U-2 OS sejtvonalat,</w:t>
      </w:r>
      <w:r>
        <w:rPr>
          <w:color w:val="000000"/>
          <w:sz w:val="24"/>
          <w:szCs w:val="24"/>
        </w:rPr>
        <w:br/>
        <w:t xml:space="preserve">amely a sejtmag azonosíthatósága érdekében hiszton H2A-mCherry-t is expresszál. A sejteket</w:t>
      </w:r>
      <w:r>
        <w:rPr>
          <w:color w:val="000000"/>
          <w:sz w:val="24"/>
          <w:szCs w:val="24"/>
        </w:rPr>
        <w:br/>
        <w:t xml:space="preserve">egy klinikai használatban lévő gyógyszereket tartalmazó vegyületkönyvtár (Screen-Well®</w:t>
      </w:r>
      <w:r>
        <w:rPr>
          <w:color w:val="000000"/>
          <w:sz w:val="24"/>
          <w:szCs w:val="24"/>
        </w:rPr>
        <w:br/>
        <w:t xml:space="preserve">FDA Approved Drug Library-V2) vegyületeivel kezeltük, majd NaO 2 As-tel indukáltuk a SG</w:t>
      </w:r>
      <w:r>
        <w:rPr>
          <w:color w:val="000000"/>
          <w:sz w:val="24"/>
          <w:szCs w:val="24"/>
        </w:rPr>
        <w:br/>
        <w:t xml:space="preserve">képződést. Automatizált mikroszkópiával és képelemző szoftverrel sejtenkénti analízist</w:t>
      </w:r>
      <w:r>
        <w:rPr>
          <w:color w:val="000000"/>
          <w:sz w:val="24"/>
          <w:szCs w:val="24"/>
        </w:rPr>
        <w:br/>
        <w:t xml:space="preserve">végezve vizsgáltuk a SG-ok kialakulását és morfológiáját. Eddig kb. 240 vegyületből 3 SG-</w:t>
      </w:r>
      <w:r>
        <w:rPr>
          <w:color w:val="000000"/>
          <w:sz w:val="24"/>
          <w:szCs w:val="24"/>
        </w:rPr>
        <w:br/>
        <w:t xml:space="preserve">gátló molekulát azonosítottunk, melyek közül a doxorubicin és a daunorubicin már szerepel</w:t>
      </w:r>
      <w:r>
        <w:rPr>
          <w:color w:val="000000"/>
          <w:sz w:val="24"/>
          <w:szCs w:val="24"/>
        </w:rPr>
        <w:br/>
        <w:t xml:space="preserve">az irodalomban. Új, még nem közölt gátló vegyület az arany (I)-tartalmú tioredoxin-reduktáz</w:t>
      </w:r>
      <w:r>
        <w:rPr>
          <w:color w:val="000000"/>
          <w:sz w:val="24"/>
          <w:szCs w:val="24"/>
        </w:rPr>
        <w:br/>
        <w:t xml:space="preserve">I inhibitor auranofin, melyet reumatoid artritisz kezelésére használnak. További vizsgálataink</w:t>
      </w:r>
      <w:r>
        <w:rPr>
          <w:color w:val="000000"/>
          <w:sz w:val="24"/>
          <w:szCs w:val="24"/>
        </w:rPr>
        <w:br/>
        <w:t xml:space="preserve">célja a vegyületkönyvtár szűrésének folytatása, ill. a hit szerek vizsgálata a sejtek</w:t>
      </w:r>
      <w:r>
        <w:rPr>
          <w:color w:val="000000"/>
          <w:sz w:val="24"/>
          <w:szCs w:val="24"/>
        </w:rPr>
        <w:br/>
        <w:t xml:space="preserve">életképességét, stressztűrését módosító hatásuk tekintetében. Az így szelektált vegyületek</w:t>
      </w:r>
      <w:r>
        <w:rPr>
          <w:color w:val="000000"/>
          <w:sz w:val="24"/>
          <w:szCs w:val="24"/>
        </w:rPr>
        <w:br/>
        <w:t xml:space="preserve">alkalmazhatók lehetnek a klinikai terápiában, vagy molekuláris célpontokra hívhatják fel a</w:t>
      </w:r>
      <w:r>
        <w:rPr>
          <w:color w:val="000000"/>
          <w:sz w:val="24"/>
          <w:szCs w:val="24"/>
        </w:rPr>
        <w:br/>
        <w:t xml:space="preserve">figyelmet ilyen szerek tervezéséhez.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907165">
    <w:multiLevelType w:val="hybridMultilevel"/>
    <w:lvl w:ilvl="0" w:tplc="575534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907165">
    <w:abstractNumId w:val="549071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10644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